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02462F39">
                <wp:simplePos x="0" y="0"/>
                <wp:positionH relativeFrom="margin">
                  <wp:align>right</wp:align>
                </wp:positionH>
                <wp:positionV relativeFrom="paragraph">
                  <wp:posOffset>38100</wp:posOffset>
                </wp:positionV>
                <wp:extent cx="6858000" cy="104775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D046B5" w14:textId="4135639F" w:rsidR="007132A7" w:rsidRPr="007132A7" w:rsidRDefault="007132A7" w:rsidP="007132A7">
                            <w:pPr>
                              <w:spacing w:after="0" w:line="240" w:lineRule="auto"/>
                              <w:ind w:left="720" w:hanging="720"/>
                              <w:jc w:val="center"/>
                              <w:rPr>
                                <w:sz w:val="36"/>
                                <w:szCs w:val="36"/>
                              </w:rPr>
                            </w:pPr>
                            <w:bookmarkStart w:id="0" w:name="_Hlk129337215"/>
                            <w:r w:rsidRPr="007132A7">
                              <w:rPr>
                                <w:sz w:val="32"/>
                                <w:szCs w:val="32"/>
                              </w:rPr>
                              <w:t>Treatment of Vasospasms and Refractory Vasospasms with High-Dose Intravenous Milrinone</w:t>
                            </w:r>
                            <w:r w:rsidRPr="007132A7">
                              <w:rPr>
                                <w:sz w:val="36"/>
                                <w:szCs w:val="36"/>
                              </w:rPr>
                              <w:t xml:space="preserve"> </w:t>
                            </w:r>
                          </w:p>
                          <w:p w14:paraId="127390E2" w14:textId="5EEABFA1" w:rsidR="008160DB" w:rsidRPr="00565174" w:rsidRDefault="007132A7" w:rsidP="005F3CDB">
                            <w:pPr>
                              <w:spacing w:after="0" w:line="240" w:lineRule="auto"/>
                              <w:ind w:left="720" w:hanging="720"/>
                              <w:jc w:val="center"/>
                              <w:rPr>
                                <w:sz w:val="24"/>
                                <w:szCs w:val="24"/>
                              </w:rPr>
                            </w:pPr>
                            <w:r>
                              <w:rPr>
                                <w:sz w:val="24"/>
                                <w:szCs w:val="24"/>
                              </w:rPr>
                              <w:t>12/2/2025</w:t>
                            </w:r>
                            <w:r w:rsidR="003D37EF">
                              <w:rPr>
                                <w:sz w:val="24"/>
                                <w:szCs w:val="24"/>
                              </w:rPr>
                              <w:t xml:space="preserve">, </w:t>
                            </w:r>
                            <w:r>
                              <w:rPr>
                                <w:sz w:val="24"/>
                                <w:szCs w:val="24"/>
                              </w:rPr>
                              <w:t xml:space="preserve">12:00p </w:t>
                            </w:r>
                            <w:r w:rsidR="003D37EF">
                              <w:rPr>
                                <w:sz w:val="24"/>
                                <w:szCs w:val="24"/>
                              </w:rPr>
                              <w:t>CT</w:t>
                            </w:r>
                            <w:r>
                              <w:rPr>
                                <w:sz w:val="24"/>
                                <w:szCs w:val="24"/>
                              </w:rPr>
                              <w:t>, 1:00p</w:t>
                            </w:r>
                            <w:r w:rsidR="003D37EF">
                              <w:rPr>
                                <w:sz w:val="24"/>
                                <w:szCs w:val="24"/>
                              </w:rPr>
                              <w:t xml:space="preserve"> ET</w:t>
                            </w:r>
                            <w:r w:rsidR="008160DB" w:rsidRPr="00565174">
                              <w:rPr>
                                <w:sz w:val="24"/>
                                <w:szCs w:val="24"/>
                              </w:rPr>
                              <w:t xml:space="preserve"> | </w:t>
                            </w:r>
                            <w:r>
                              <w:rPr>
                                <w:sz w:val="24"/>
                                <w:szCs w:val="24"/>
                              </w:rPr>
                              <w:t>CMC Conference Room 613</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" filled="f" stroked="f" strokeweight="1pt">
                <v:textbox>
                  <w:txbxContent>
                    <w:p w14:paraId="30D046B5" w14:textId="4135639F" w:rsidR="007132A7" w:rsidRPr="007132A7" w:rsidRDefault="007132A7" w:rsidP="007132A7">
                      <w:pPr>
                        <w:spacing w:after="0" w:line="240" w:lineRule="auto"/>
                        <w:ind w:left="720" w:hanging="720"/>
                        <w:jc w:val="center"/>
                        <w:rPr>
                          <w:sz w:val="36"/>
                          <w:szCs w:val="36"/>
                        </w:rPr>
                      </w:pPr>
                      <w:bookmarkStart w:id="1" w:name="_Hlk129337215"/>
                      <w:r w:rsidRPr="007132A7">
                        <w:rPr>
                          <w:sz w:val="32"/>
                          <w:szCs w:val="32"/>
                        </w:rPr>
                        <w:t>Treatment of Vasospasms and Refractory Vasospasms with High-Dose Intravenous Milrinone</w:t>
                      </w:r>
                      <w:r w:rsidRPr="007132A7">
                        <w:rPr>
                          <w:sz w:val="36"/>
                          <w:szCs w:val="36"/>
                        </w:rPr>
                        <w:t xml:space="preserve"> </w:t>
                      </w:r>
                    </w:p>
                    <w:p w14:paraId="127390E2" w14:textId="5EEABFA1" w:rsidR="008160DB" w:rsidRPr="00565174" w:rsidRDefault="007132A7" w:rsidP="005F3CDB">
                      <w:pPr>
                        <w:spacing w:after="0" w:line="240" w:lineRule="auto"/>
                        <w:ind w:left="720" w:hanging="720"/>
                        <w:jc w:val="center"/>
                        <w:rPr>
                          <w:sz w:val="24"/>
                          <w:szCs w:val="24"/>
                        </w:rPr>
                      </w:pPr>
                      <w:r>
                        <w:rPr>
                          <w:sz w:val="24"/>
                          <w:szCs w:val="24"/>
                        </w:rPr>
                        <w:t>12/2/2025</w:t>
                      </w:r>
                      <w:r w:rsidR="003D37EF">
                        <w:rPr>
                          <w:sz w:val="24"/>
                          <w:szCs w:val="24"/>
                        </w:rPr>
                        <w:t xml:space="preserve">, </w:t>
                      </w:r>
                      <w:r>
                        <w:rPr>
                          <w:sz w:val="24"/>
                          <w:szCs w:val="24"/>
                        </w:rPr>
                        <w:t xml:space="preserve">12:00p </w:t>
                      </w:r>
                      <w:r w:rsidR="003D37EF">
                        <w:rPr>
                          <w:sz w:val="24"/>
                          <w:szCs w:val="24"/>
                        </w:rPr>
                        <w:t>CT</w:t>
                      </w:r>
                      <w:r>
                        <w:rPr>
                          <w:sz w:val="24"/>
                          <w:szCs w:val="24"/>
                        </w:rPr>
                        <w:t>, 1:00p</w:t>
                      </w:r>
                      <w:r w:rsidR="003D37EF">
                        <w:rPr>
                          <w:sz w:val="24"/>
                          <w:szCs w:val="24"/>
                        </w:rPr>
                        <w:t xml:space="preserve"> ET</w:t>
                      </w:r>
                      <w:r w:rsidR="008160DB" w:rsidRPr="00565174">
                        <w:rPr>
                          <w:sz w:val="24"/>
                          <w:szCs w:val="24"/>
                        </w:rPr>
                        <w:t xml:space="preserve"> | </w:t>
                      </w:r>
                      <w:r>
                        <w:rPr>
                          <w:sz w:val="24"/>
                          <w:szCs w:val="24"/>
                        </w:rPr>
                        <w:t>CMC Conference Room 613</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0E44A99E">
            <wp:extent cx="6911975" cy="10858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05188" cy="2074494"/>
                    </a:xfrm>
                    <a:prstGeom prst="rect">
                      <a:avLst/>
                    </a:prstGeom>
                  </pic:spPr>
                </pic:pic>
              </a:graphicData>
            </a:graphic>
          </wp:inline>
        </w:drawing>
      </w:r>
    </w:p>
    <w:p w14:paraId="3B2A16D1" w14:textId="77777777" w:rsidR="007132A7" w:rsidRDefault="007132A7" w:rsidP="00EB63F4">
      <w:pPr>
        <w:pStyle w:val="BodyText"/>
        <w:spacing w:before="2" w:line="249" w:lineRule="auto"/>
        <w:ind w:right="216"/>
        <w:rPr>
          <w:b/>
          <w:bCs/>
        </w:rPr>
      </w:pPr>
    </w:p>
    <w:p w14:paraId="444F96E4" w14:textId="3B4758E5" w:rsidR="0065650A" w:rsidRDefault="00F65EA8" w:rsidP="00EB63F4">
      <w:pPr>
        <w:pStyle w:val="BodyText"/>
        <w:spacing w:before="2" w:line="249" w:lineRule="auto"/>
        <w:ind w:right="216"/>
      </w:pPr>
      <w:r w:rsidRPr="006878F1">
        <w:rPr>
          <w:b/>
          <w:bCs/>
        </w:rPr>
        <w:t>Overview:</w:t>
      </w:r>
      <w:r w:rsidR="007132A7">
        <w:rPr>
          <w:b/>
          <w:bCs/>
        </w:rPr>
        <w:t xml:space="preserve"> </w:t>
      </w:r>
      <w:r w:rsidR="007132A7">
        <w:t>This presentation provides an in-depth review of cerebral vasospasm following subarachnoid hemorrhage, including its pathophysiology, clinical impact, and current standards of treatment. Special focus is given to the pharmacological role of intravenous milrinone, with emphasis on high-dose strategies for refractory vasospasm. Evidence-based approaches, dosing protocols, and safety considerations are discussed to support critical care decision making.</w:t>
      </w:r>
    </w:p>
    <w:p w14:paraId="5D6078F1" w14:textId="77777777" w:rsidR="00D354ED" w:rsidRPr="00B40198" w:rsidRDefault="00D354ED" w:rsidP="00EB63F4">
      <w:pPr>
        <w:pStyle w:val="BodyText"/>
        <w:spacing w:before="2" w:line="249" w:lineRule="auto"/>
        <w:ind w:right="216"/>
      </w:pPr>
    </w:p>
    <w:p w14:paraId="26DE9662" w14:textId="0399F4F2" w:rsidR="000A23CA" w:rsidRDefault="00F65EA8" w:rsidP="007132A7">
      <w:pPr>
        <w:pStyle w:val="BodyText"/>
        <w:spacing w:line="223" w:lineRule="exact"/>
      </w:pPr>
      <w:r w:rsidRPr="0225046F">
        <w:rPr>
          <w:b/>
          <w:bCs/>
        </w:rPr>
        <w:t>Speaker</w:t>
      </w:r>
      <w:r w:rsidR="007132A7" w:rsidRPr="0225046F">
        <w:rPr>
          <w:b/>
          <w:bCs/>
        </w:rPr>
        <w:t xml:space="preserve">: </w:t>
      </w:r>
      <w:r w:rsidR="007132A7">
        <w:t>Sophie Ruger, PharmD, PGY1 Pharmacy Resident- Advocate Christ Medical Center</w:t>
      </w:r>
    </w:p>
    <w:p w14:paraId="2F1FB2F7" w14:textId="77777777" w:rsidR="00322A54" w:rsidRDefault="00322A54" w:rsidP="00322A54">
      <w:pPr>
        <w:pStyle w:val="BodyText"/>
        <w:spacing w:line="227" w:lineRule="exact"/>
        <w:rPr>
          <w:b/>
          <w:bCs/>
        </w:rPr>
      </w:pPr>
    </w:p>
    <w:p w14:paraId="7AC66434" w14:textId="5A2249F7" w:rsidR="00D15356" w:rsidRPr="006878F1" w:rsidRDefault="00B45C82" w:rsidP="00434450">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007132A7" w:rsidRPr="007132A7">
        <w:rPr>
          <w:rFonts w:ascii="Verdana" w:hAnsi="Verdana"/>
          <w:sz w:val="20"/>
        </w:rPr>
        <w:t>Kati Khouri, PharmD, BCCCP</w:t>
      </w:r>
    </w:p>
    <w:p w14:paraId="055EF5BB" w14:textId="77777777" w:rsidR="00F65EA8" w:rsidRPr="006878F1" w:rsidRDefault="00F65EA8" w:rsidP="00F65EA8">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20BDB70D" w14:textId="77777777" w:rsidR="007132A7" w:rsidRPr="007132A7" w:rsidRDefault="007132A7" w:rsidP="007132A7">
      <w:pPr>
        <w:widowControl w:val="0"/>
        <w:numPr>
          <w:ilvl w:val="0"/>
          <w:numId w:val="34"/>
        </w:numPr>
        <w:tabs>
          <w:tab w:val="left" w:pos="825"/>
        </w:tabs>
        <w:autoSpaceDE w:val="0"/>
        <w:autoSpaceDN w:val="0"/>
        <w:spacing w:after="0" w:line="225" w:lineRule="exact"/>
        <w:rPr>
          <w:rFonts w:ascii="Verdana" w:hAnsi="Verdana"/>
          <w:sz w:val="20"/>
        </w:rPr>
      </w:pPr>
      <w:r w:rsidRPr="007132A7">
        <w:rPr>
          <w:rFonts w:ascii="Verdana" w:hAnsi="Verdana"/>
          <w:sz w:val="20"/>
        </w:rPr>
        <w:t>Define cerebral vasospasm and its role in subarachnoid</w:t>
      </w:r>
      <w:r w:rsidRPr="007132A7">
        <w:rPr>
          <w:rFonts w:ascii="Verdana" w:hAnsi="Verdana"/>
          <w:spacing w:val="-11"/>
          <w:sz w:val="20"/>
        </w:rPr>
        <w:t xml:space="preserve"> </w:t>
      </w:r>
      <w:r w:rsidRPr="007132A7">
        <w:rPr>
          <w:rFonts w:ascii="Verdana" w:hAnsi="Verdana"/>
          <w:sz w:val="20"/>
        </w:rPr>
        <w:t>hemorrhage.</w:t>
      </w:r>
    </w:p>
    <w:p w14:paraId="2924405F" w14:textId="77777777" w:rsidR="007132A7" w:rsidRPr="007132A7" w:rsidRDefault="007132A7" w:rsidP="007132A7">
      <w:pPr>
        <w:widowControl w:val="0"/>
        <w:numPr>
          <w:ilvl w:val="0"/>
          <w:numId w:val="34"/>
        </w:numPr>
        <w:tabs>
          <w:tab w:val="left" w:pos="825"/>
        </w:tabs>
        <w:autoSpaceDE w:val="0"/>
        <w:autoSpaceDN w:val="0"/>
        <w:spacing w:after="0" w:line="223" w:lineRule="exact"/>
        <w:rPr>
          <w:rFonts w:ascii="Verdana" w:hAnsi="Verdana"/>
          <w:sz w:val="20"/>
        </w:rPr>
      </w:pPr>
      <w:r w:rsidRPr="007132A7">
        <w:rPr>
          <w:rFonts w:ascii="Verdana" w:hAnsi="Verdana"/>
          <w:sz w:val="20"/>
        </w:rPr>
        <w:t>Identify current treatment strategies and their</w:t>
      </w:r>
      <w:r w:rsidRPr="007132A7">
        <w:rPr>
          <w:rFonts w:ascii="Verdana" w:hAnsi="Verdana"/>
          <w:spacing w:val="-6"/>
          <w:sz w:val="20"/>
        </w:rPr>
        <w:t xml:space="preserve"> </w:t>
      </w:r>
      <w:r w:rsidRPr="007132A7">
        <w:rPr>
          <w:rFonts w:ascii="Verdana" w:hAnsi="Verdana"/>
          <w:sz w:val="20"/>
        </w:rPr>
        <w:t>limitations.</w:t>
      </w:r>
    </w:p>
    <w:p w14:paraId="6EC63D66" w14:textId="77777777" w:rsidR="007132A7" w:rsidRPr="007132A7" w:rsidRDefault="007132A7" w:rsidP="007132A7">
      <w:pPr>
        <w:widowControl w:val="0"/>
        <w:numPr>
          <w:ilvl w:val="0"/>
          <w:numId w:val="34"/>
        </w:numPr>
        <w:tabs>
          <w:tab w:val="left" w:pos="825"/>
        </w:tabs>
        <w:autoSpaceDE w:val="0"/>
        <w:autoSpaceDN w:val="0"/>
        <w:spacing w:after="0" w:line="223" w:lineRule="exact"/>
        <w:rPr>
          <w:rFonts w:ascii="Verdana" w:hAnsi="Verdana"/>
          <w:sz w:val="20"/>
        </w:rPr>
      </w:pPr>
      <w:r w:rsidRPr="007132A7">
        <w:rPr>
          <w:rFonts w:ascii="Verdana" w:hAnsi="Verdana"/>
          <w:sz w:val="20"/>
        </w:rPr>
        <w:t>Describe how milrinone works in managing</w:t>
      </w:r>
      <w:r w:rsidRPr="007132A7">
        <w:rPr>
          <w:rFonts w:ascii="Verdana" w:hAnsi="Verdana"/>
          <w:spacing w:val="-1"/>
          <w:sz w:val="20"/>
        </w:rPr>
        <w:t xml:space="preserve"> </w:t>
      </w:r>
      <w:r w:rsidRPr="007132A7">
        <w:rPr>
          <w:rFonts w:ascii="Verdana" w:hAnsi="Verdana"/>
          <w:sz w:val="20"/>
        </w:rPr>
        <w:t>vasospasm.</w:t>
      </w:r>
    </w:p>
    <w:p w14:paraId="462E576F" w14:textId="77777777" w:rsidR="007132A7" w:rsidRDefault="007132A7" w:rsidP="007132A7">
      <w:pPr>
        <w:widowControl w:val="0"/>
        <w:numPr>
          <w:ilvl w:val="0"/>
          <w:numId w:val="34"/>
        </w:numPr>
        <w:tabs>
          <w:tab w:val="left" w:pos="825"/>
        </w:tabs>
        <w:autoSpaceDE w:val="0"/>
        <w:autoSpaceDN w:val="0"/>
        <w:spacing w:after="0" w:line="225" w:lineRule="exact"/>
        <w:rPr>
          <w:rFonts w:ascii="Verdana" w:hAnsi="Verdana"/>
          <w:sz w:val="20"/>
        </w:rPr>
      </w:pPr>
      <w:r w:rsidRPr="007132A7">
        <w:rPr>
          <w:rFonts w:ascii="Verdana" w:hAnsi="Verdana"/>
          <w:sz w:val="20"/>
        </w:rPr>
        <w:t>Outline high dose milrinone protocols and monitoring</w:t>
      </w:r>
      <w:r w:rsidRPr="007132A7">
        <w:rPr>
          <w:rFonts w:ascii="Verdana" w:hAnsi="Verdana"/>
          <w:spacing w:val="-2"/>
          <w:sz w:val="20"/>
        </w:rPr>
        <w:t xml:space="preserve"> </w:t>
      </w:r>
      <w:r w:rsidRPr="007132A7">
        <w:rPr>
          <w:rFonts w:ascii="Verdana" w:hAnsi="Verdana"/>
          <w:sz w:val="20"/>
        </w:rPr>
        <w:t>considerations.</w:t>
      </w:r>
    </w:p>
    <w:p w14:paraId="02DFEA73" w14:textId="77777777" w:rsidR="007132A7" w:rsidRPr="007132A7" w:rsidRDefault="007132A7" w:rsidP="007132A7">
      <w:pPr>
        <w:widowControl w:val="0"/>
        <w:tabs>
          <w:tab w:val="left" w:pos="825"/>
        </w:tabs>
        <w:autoSpaceDE w:val="0"/>
        <w:autoSpaceDN w:val="0"/>
        <w:spacing w:after="0" w:line="225" w:lineRule="exact"/>
        <w:ind w:left="360"/>
        <w:rPr>
          <w:rFonts w:ascii="Verdana" w:hAnsi="Verdana"/>
          <w:sz w:val="20"/>
        </w:rPr>
      </w:pPr>
    </w:p>
    <w:p w14:paraId="196CD146" w14:textId="41503213"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5237E445" w:rsidR="00900B72" w:rsidRDefault="00F65EA8" w:rsidP="00F65EA8">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w:t>
      </w:r>
      <w:r w:rsidR="00D8590F">
        <w:rPr>
          <w:rFonts w:ascii="Verdana" w:hAnsi="Verdana"/>
          <w:sz w:val="20"/>
          <w:szCs w:val="20"/>
        </w:rPr>
        <w:t>is</w:t>
      </w:r>
      <w:r w:rsidRPr="00DF42CE">
        <w:rPr>
          <w:rFonts w:ascii="Verdana" w:hAnsi="Verdana"/>
          <w:sz w:val="20"/>
          <w:szCs w:val="20"/>
        </w:rPr>
        <w:t xml:space="preserve"> activit</w:t>
      </w:r>
      <w:r w:rsidR="00D8590F">
        <w:rPr>
          <w:rFonts w:ascii="Verdana" w:hAnsi="Verdana"/>
          <w:sz w:val="20"/>
          <w:szCs w:val="20"/>
        </w:rPr>
        <w:t>y</w:t>
      </w:r>
      <w:r w:rsidRPr="00DF42CE">
        <w:rPr>
          <w:rFonts w:ascii="Verdana" w:hAnsi="Verdana"/>
          <w:sz w:val="20"/>
          <w:szCs w:val="20"/>
        </w:rPr>
        <w:t>.</w:t>
      </w:r>
    </w:p>
    <w:p w14:paraId="3AC4A004" w14:textId="77777777" w:rsidR="00E842EB" w:rsidRPr="00DF42CE"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14:paraId="4821263C" w14:textId="77777777" w:rsidR="00E842EB" w:rsidRPr="00DF42CE"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DF42CE" w14:paraId="2B1D1D73" w14:textId="77777777" w:rsidTr="47A55E8E">
        <w:tc>
          <w:tcPr>
            <w:tcW w:w="1838" w:type="dxa"/>
          </w:tcPr>
          <w:p w14:paraId="2F8FB65E" w14:textId="64B1CEDD"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eastAsia="Times New Roman" w:hAnsi="Verdana" w:cs="Univers 45 Light"/>
                <w:kern w:val="24"/>
                <w:sz w:val="20"/>
                <w:szCs w:val="20"/>
              </w:rPr>
              <w:t>In</w:t>
            </w:r>
            <w:r w:rsidRPr="00DF42CE">
              <w:rPr>
                <w:rFonts w:ascii="Verdana" w:eastAsia="Times New Roman" w:hAnsi="Verdana"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DF42CE"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DF42CE" w:rsidRDefault="0087352F" w:rsidP="000A797A">
      <w:pPr>
        <w:spacing w:line="240" w:lineRule="auto"/>
        <w:ind w:left="255"/>
        <w:textAlignment w:val="baseline"/>
        <w:rPr>
          <w:rFonts w:eastAsia="Times New Roman" w:cs="Segoe UI"/>
          <w:sz w:val="20"/>
          <w:szCs w:val="20"/>
        </w:rPr>
      </w:pPr>
      <w:r w:rsidRPr="00DF42CE">
        <w:rPr>
          <w:rFonts w:ascii="Verdana" w:eastAsia="Times New Roman" w:hAnsi="Verdana" w:cs="Segoe UI"/>
          <w:b/>
          <w:bCs/>
          <w:sz w:val="20"/>
          <w:szCs w:val="20"/>
        </w:rPr>
        <w:t>Credit Statement(s): </w:t>
      </w:r>
    </w:p>
    <w:p w14:paraId="6D8CED07" w14:textId="77777777" w:rsidR="009F2459" w:rsidRDefault="00D61C7F" w:rsidP="009F2459">
      <w:pPr>
        <w:pStyle w:val="BodyText"/>
        <w:ind w:left="267"/>
      </w:pPr>
      <w:r w:rsidRPr="00DF42CE">
        <w:rPr>
          <w:b/>
          <w:bCs/>
        </w:rPr>
        <w:t>Accreditation Council for Pharmacy Education (ACPE):</w:t>
      </w:r>
      <w:r w:rsidRPr="00DF42CE">
        <w:t xml:space="preserve"> </w:t>
      </w:r>
      <w:r w:rsidR="000847D8" w:rsidRPr="00DF42CE">
        <w:br/>
      </w:r>
      <w:r w:rsidRPr="00DF42CE">
        <w:t xml:space="preserve">Advocate Health designates this live activity for a maximum of </w:t>
      </w:r>
      <w:r w:rsidR="00F65EA8" w:rsidRPr="00D5165E">
        <w:t>1</w:t>
      </w:r>
      <w:r w:rsidRPr="00D5165E">
        <w:t xml:space="preserve"> hour of CPE credit for pharmacists</w:t>
      </w:r>
      <w:r w:rsidRPr="00DF42CE">
        <w:t>.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r w:rsidR="009F2459">
        <w:t xml:space="preserve"> </w:t>
      </w:r>
    </w:p>
    <w:p w14:paraId="5EA3101D" w14:textId="77777777" w:rsidR="00BF4185" w:rsidRDefault="00BF4185" w:rsidP="009F2459">
      <w:pPr>
        <w:pStyle w:val="BodyText"/>
        <w:ind w:left="267"/>
      </w:pPr>
    </w:p>
    <w:p w14:paraId="75211B95" w14:textId="77777777" w:rsidR="007132A7" w:rsidRPr="00B47861" w:rsidRDefault="009F2459" w:rsidP="007132A7">
      <w:pPr>
        <w:pStyle w:val="BodyText"/>
        <w:ind w:left="267"/>
        <w:rPr>
          <w:sz w:val="24"/>
          <w:szCs w:val="24"/>
        </w:rPr>
      </w:pPr>
      <w:r w:rsidRPr="007132A7">
        <w:rPr>
          <w:b/>
          <w:bCs/>
        </w:rPr>
        <w:t>UAN</w:t>
      </w:r>
      <w:r w:rsidRPr="007132A7">
        <w:t xml:space="preserve">: </w:t>
      </w:r>
      <w:r w:rsidR="007132A7" w:rsidRPr="007132A7">
        <w:t>JA0006327-0000-25-003-L01-P</w:t>
      </w:r>
    </w:p>
    <w:p w14:paraId="61390B5F" w14:textId="122C27D4" w:rsidR="000A797A" w:rsidRDefault="000A797A" w:rsidP="007132A7">
      <w:pPr>
        <w:pStyle w:val="BodyText"/>
        <w:ind w:left="267"/>
      </w:pPr>
    </w:p>
    <w:p w14:paraId="1EBBE735" w14:textId="5400890A" w:rsidR="00FB4480" w:rsidRDefault="00FB4480" w:rsidP="00FB4480">
      <w:pPr>
        <w:pStyle w:val="BodyText"/>
        <w:ind w:left="267"/>
      </w:pPr>
      <w:r w:rsidRPr="00FB4480">
        <w:rPr>
          <w:b/>
          <w:bCs/>
        </w:rPr>
        <w:t>American Medical Association (AMA):</w:t>
      </w:r>
      <w:r w:rsidRPr="00FB4480">
        <w:t xml:space="preserve"> Advocate Health designates this live activity for a maximum </w:t>
      </w:r>
      <w:r w:rsidR="00E45F59" w:rsidRPr="00FB4480">
        <w:t>of 1.0</w:t>
      </w:r>
      <w:r w:rsidRPr="00FB4480">
        <w:t> </w:t>
      </w:r>
      <w:r w:rsidRPr="00FB4480">
        <w:rPr>
          <w:i/>
          <w:iCs/>
        </w:rPr>
        <w:t>AMA PRA Category 1 Credits™</w:t>
      </w:r>
      <w:r w:rsidRPr="00FB4480">
        <w:t>.  Physicians should claim only the credit commensurate with the extent of their participation in the activity. </w:t>
      </w:r>
    </w:p>
    <w:p w14:paraId="24E3C3EA" w14:textId="77777777" w:rsidR="000A797A" w:rsidRPr="00FB4480" w:rsidRDefault="000A797A" w:rsidP="00FB4480">
      <w:pPr>
        <w:pStyle w:val="BodyText"/>
        <w:ind w:left="267"/>
      </w:pPr>
    </w:p>
    <w:p w14:paraId="7A8F5AD6" w14:textId="77777777" w:rsidR="007132A7" w:rsidRDefault="00FB4480" w:rsidP="007132A7">
      <w:pPr>
        <w:pStyle w:val="BodyText"/>
        <w:ind w:left="267"/>
      </w:pPr>
      <w:r w:rsidRPr="00FB4480">
        <w:rPr>
          <w:b/>
          <w:bCs/>
        </w:rPr>
        <w:t>American Nurses Credentialing Center (ANCC):</w:t>
      </w:r>
      <w:r w:rsidRPr="00FB4480">
        <w:t xml:space="preserve"> Advocate Health designates this live</w:t>
      </w:r>
      <w:r>
        <w:t xml:space="preserve"> </w:t>
      </w:r>
      <w:r w:rsidRPr="00FB4480">
        <w:t xml:space="preserve">activity for a maximum of </w:t>
      </w:r>
      <w:r>
        <w:t>1.0</w:t>
      </w:r>
      <w:r w:rsidRPr="00FB4480">
        <w:t xml:space="preserve"> ANCC contact hours</w:t>
      </w:r>
      <w:r>
        <w:t>/APRN pharmacological hours</w:t>
      </w:r>
      <w:r w:rsidRPr="00FB4480">
        <w:t>. Nurses should claim only the credit commensurate with the extent of their participation in the activity. </w:t>
      </w:r>
    </w:p>
    <w:p w14:paraId="53F409D9" w14:textId="4476E21E" w:rsidR="00BF4185" w:rsidRDefault="00C45F68" w:rsidP="007132A7">
      <w:pPr>
        <w:pStyle w:val="BodyText"/>
        <w:ind w:left="267"/>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2"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9EF2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r w:rsidR="00BF4185">
        <w:rPr>
          <w:rFonts w:eastAsia="Times New Roman" w:cs="Segoe UI"/>
        </w:rPr>
        <w:tab/>
      </w:r>
    </w:p>
    <w:p w14:paraId="29277DC8" w14:textId="6B111E45" w:rsidR="007132A7" w:rsidRPr="007132A7" w:rsidRDefault="007132A7" w:rsidP="007132A7">
      <w:pPr>
        <w:tabs>
          <w:tab w:val="left" w:pos="3300"/>
        </w:tabs>
        <w:rPr>
          <w:lang w:bidi="en-US"/>
        </w:rPr>
      </w:pPr>
      <w:r>
        <w:rPr>
          <w:lang w:bidi="en-US"/>
        </w:rPr>
        <w:tab/>
      </w:r>
    </w:p>
    <w:sectPr w:rsidR="007132A7" w:rsidRPr="007132A7"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47A8" w14:textId="77777777" w:rsidR="00DB7077" w:rsidRDefault="00DB7077" w:rsidP="00055B10">
      <w:pPr>
        <w:spacing w:after="0" w:line="240" w:lineRule="auto"/>
      </w:pPr>
      <w:r>
        <w:separator/>
      </w:r>
    </w:p>
  </w:endnote>
  <w:endnote w:type="continuationSeparator" w:id="0">
    <w:p w14:paraId="18F23723" w14:textId="77777777" w:rsidR="00DB7077" w:rsidRDefault="00DB7077"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8E7C" w14:textId="49054854" w:rsidR="007132A7" w:rsidRPr="007132A7" w:rsidRDefault="00F65EA8" w:rsidP="00F65EA8">
    <w:pPr>
      <w:pStyle w:val="Footer"/>
      <w:rPr>
        <w:rFonts w:ascii="Arial" w:eastAsia="Arial" w:hAnsi="Arial" w:cs="Arial"/>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r w:rsidR="007132A7">
      <w:rPr>
        <w:rFonts w:ascii="Arial" w:eastAsia="Arial" w:hAnsi="Arial" w:cs="Arial"/>
        <w:kern w:val="24"/>
        <w:sz w:val="16"/>
        <w:szCs w:val="16"/>
      </w:rPr>
      <w:t>Colegrove</w:t>
    </w:r>
    <w:r w:rsidR="007132A7" w:rsidRPr="00D5165E">
      <w:rPr>
        <w:rFonts w:ascii="Arial" w:eastAsia="Arial" w:hAnsi="Arial" w:cs="Arial"/>
        <w:kern w:val="24"/>
        <w:sz w:val="16"/>
        <w:szCs w:val="16"/>
      </w:rPr>
      <w:t xml:space="preserve"> Created</w:t>
    </w:r>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7132A7">
      <w:rPr>
        <w:rFonts w:ascii="Arial" w:eastAsia="Arial" w:hAnsi="Arial" w:cs="Arial"/>
        <w:kern w:val="24"/>
        <w:sz w:val="16"/>
        <w:szCs w:val="16"/>
      </w:rPr>
      <w:t>10/6/2025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7132A7">
      <w:rPr>
        <w:rFonts w:ascii="Arial" w:eastAsia="Arial" w:hAnsi="Arial" w:cs="Arial"/>
        <w:kern w:val="24"/>
        <w:sz w:val="16"/>
        <w:szCs w:val="16"/>
      </w:rPr>
      <w:t>: 12/2/2025</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323D" w14:textId="77777777" w:rsidR="00DB7077" w:rsidRDefault="00DB7077" w:rsidP="00055B10">
      <w:pPr>
        <w:spacing w:after="0" w:line="240" w:lineRule="auto"/>
      </w:pPr>
      <w:r>
        <w:separator/>
      </w:r>
    </w:p>
  </w:footnote>
  <w:footnote w:type="continuationSeparator" w:id="0">
    <w:p w14:paraId="5F18D715" w14:textId="77777777" w:rsidR="00DB7077" w:rsidRDefault="00DB7077"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E63AB1"/>
    <w:multiLevelType w:val="hybridMultilevel"/>
    <w:tmpl w:val="F8A6B832"/>
    <w:lvl w:ilvl="0" w:tplc="CDF4835A">
      <w:start w:val="1"/>
      <w:numFmt w:val="decimal"/>
      <w:lvlText w:val="%1."/>
      <w:lvlJc w:val="left"/>
      <w:pPr>
        <w:ind w:left="825" w:hanging="360"/>
        <w:jc w:val="left"/>
      </w:pPr>
      <w:rPr>
        <w:rFonts w:ascii="Arial" w:eastAsia="Arial" w:hAnsi="Arial" w:cs="Arial" w:hint="default"/>
        <w:color w:val="auto"/>
        <w:spacing w:val="-2"/>
        <w:w w:val="100"/>
        <w:sz w:val="20"/>
        <w:szCs w:val="20"/>
        <w:lang w:val="en-US" w:eastAsia="en-US" w:bidi="en-US"/>
      </w:rPr>
    </w:lvl>
    <w:lvl w:ilvl="1" w:tplc="D34A73F2">
      <w:numFmt w:val="bullet"/>
      <w:lvlText w:val="•"/>
      <w:lvlJc w:val="left"/>
      <w:pPr>
        <w:ind w:left="1846" w:hanging="360"/>
      </w:pPr>
      <w:rPr>
        <w:rFonts w:hint="default"/>
        <w:lang w:val="en-US" w:eastAsia="en-US" w:bidi="en-US"/>
      </w:rPr>
    </w:lvl>
    <w:lvl w:ilvl="2" w:tplc="66B48F04">
      <w:numFmt w:val="bullet"/>
      <w:lvlText w:val="•"/>
      <w:lvlJc w:val="left"/>
      <w:pPr>
        <w:ind w:left="2873" w:hanging="360"/>
      </w:pPr>
      <w:rPr>
        <w:rFonts w:hint="default"/>
        <w:lang w:val="en-US" w:eastAsia="en-US" w:bidi="en-US"/>
      </w:rPr>
    </w:lvl>
    <w:lvl w:ilvl="3" w:tplc="1538446E">
      <w:numFmt w:val="bullet"/>
      <w:lvlText w:val="•"/>
      <w:lvlJc w:val="left"/>
      <w:pPr>
        <w:ind w:left="3900" w:hanging="360"/>
      </w:pPr>
      <w:rPr>
        <w:rFonts w:hint="default"/>
        <w:lang w:val="en-US" w:eastAsia="en-US" w:bidi="en-US"/>
      </w:rPr>
    </w:lvl>
    <w:lvl w:ilvl="4" w:tplc="AB6E204A">
      <w:numFmt w:val="bullet"/>
      <w:lvlText w:val="•"/>
      <w:lvlJc w:val="left"/>
      <w:pPr>
        <w:ind w:left="4927" w:hanging="360"/>
      </w:pPr>
      <w:rPr>
        <w:rFonts w:hint="default"/>
        <w:lang w:val="en-US" w:eastAsia="en-US" w:bidi="en-US"/>
      </w:rPr>
    </w:lvl>
    <w:lvl w:ilvl="5" w:tplc="24147D86">
      <w:numFmt w:val="bullet"/>
      <w:lvlText w:val="•"/>
      <w:lvlJc w:val="left"/>
      <w:pPr>
        <w:ind w:left="5954" w:hanging="360"/>
      </w:pPr>
      <w:rPr>
        <w:rFonts w:hint="default"/>
        <w:lang w:val="en-US" w:eastAsia="en-US" w:bidi="en-US"/>
      </w:rPr>
    </w:lvl>
    <w:lvl w:ilvl="6" w:tplc="2498476E">
      <w:numFmt w:val="bullet"/>
      <w:lvlText w:val="•"/>
      <w:lvlJc w:val="left"/>
      <w:pPr>
        <w:ind w:left="6981" w:hanging="360"/>
      </w:pPr>
      <w:rPr>
        <w:rFonts w:hint="default"/>
        <w:lang w:val="en-US" w:eastAsia="en-US" w:bidi="en-US"/>
      </w:rPr>
    </w:lvl>
    <w:lvl w:ilvl="7" w:tplc="A5321F5A">
      <w:numFmt w:val="bullet"/>
      <w:lvlText w:val="•"/>
      <w:lvlJc w:val="left"/>
      <w:pPr>
        <w:ind w:left="8008" w:hanging="360"/>
      </w:pPr>
      <w:rPr>
        <w:rFonts w:hint="default"/>
        <w:lang w:val="en-US" w:eastAsia="en-US" w:bidi="en-US"/>
      </w:rPr>
    </w:lvl>
    <w:lvl w:ilvl="8" w:tplc="29DAD4B8">
      <w:numFmt w:val="bullet"/>
      <w:lvlText w:val="•"/>
      <w:lvlJc w:val="left"/>
      <w:pPr>
        <w:ind w:left="9035" w:hanging="360"/>
      </w:pPr>
      <w:rPr>
        <w:rFonts w:hint="default"/>
        <w:lang w:val="en-US" w:eastAsia="en-US" w:bidi="en-US"/>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960428"/>
    <w:multiLevelType w:val="hybridMultilevel"/>
    <w:tmpl w:val="0DD63B3C"/>
    <w:lvl w:ilvl="0" w:tplc="04090001">
      <w:start w:val="1"/>
      <w:numFmt w:val="bullet"/>
      <w:lvlText w:val=""/>
      <w:lvlJc w:val="left"/>
      <w:pPr>
        <w:ind w:left="360" w:hanging="360"/>
        <w:jc w:val="left"/>
      </w:pPr>
      <w:rPr>
        <w:rFonts w:ascii="Symbol" w:hAnsi="Symbol" w:hint="default"/>
        <w:color w:val="auto"/>
        <w:spacing w:val="-2"/>
        <w:w w:val="100"/>
        <w:sz w:val="20"/>
        <w:szCs w:val="20"/>
        <w:lang w:val="en-US" w:eastAsia="en-US" w:bidi="en-US"/>
      </w:rPr>
    </w:lvl>
    <w:lvl w:ilvl="1" w:tplc="FFFFFFFF">
      <w:numFmt w:val="bullet"/>
      <w:lvlText w:val="•"/>
      <w:lvlJc w:val="left"/>
      <w:pPr>
        <w:ind w:left="1381" w:hanging="360"/>
      </w:pPr>
      <w:rPr>
        <w:rFonts w:hint="default"/>
        <w:lang w:val="en-US" w:eastAsia="en-US" w:bidi="en-US"/>
      </w:rPr>
    </w:lvl>
    <w:lvl w:ilvl="2" w:tplc="FFFFFFFF">
      <w:numFmt w:val="bullet"/>
      <w:lvlText w:val="•"/>
      <w:lvlJc w:val="left"/>
      <w:pPr>
        <w:ind w:left="2408" w:hanging="360"/>
      </w:pPr>
      <w:rPr>
        <w:rFonts w:hint="default"/>
        <w:lang w:val="en-US" w:eastAsia="en-US" w:bidi="en-US"/>
      </w:rPr>
    </w:lvl>
    <w:lvl w:ilvl="3" w:tplc="FFFFFFFF">
      <w:numFmt w:val="bullet"/>
      <w:lvlText w:val="•"/>
      <w:lvlJc w:val="left"/>
      <w:pPr>
        <w:ind w:left="3435" w:hanging="360"/>
      </w:pPr>
      <w:rPr>
        <w:rFonts w:hint="default"/>
        <w:lang w:val="en-US" w:eastAsia="en-US" w:bidi="en-US"/>
      </w:rPr>
    </w:lvl>
    <w:lvl w:ilvl="4" w:tplc="FFFFFFFF">
      <w:numFmt w:val="bullet"/>
      <w:lvlText w:val="•"/>
      <w:lvlJc w:val="left"/>
      <w:pPr>
        <w:ind w:left="4462" w:hanging="360"/>
      </w:pPr>
      <w:rPr>
        <w:rFonts w:hint="default"/>
        <w:lang w:val="en-US" w:eastAsia="en-US" w:bidi="en-US"/>
      </w:rPr>
    </w:lvl>
    <w:lvl w:ilvl="5" w:tplc="FFFFFFFF">
      <w:numFmt w:val="bullet"/>
      <w:lvlText w:val="•"/>
      <w:lvlJc w:val="left"/>
      <w:pPr>
        <w:ind w:left="5489" w:hanging="360"/>
      </w:pPr>
      <w:rPr>
        <w:rFonts w:hint="default"/>
        <w:lang w:val="en-US" w:eastAsia="en-US" w:bidi="en-US"/>
      </w:rPr>
    </w:lvl>
    <w:lvl w:ilvl="6" w:tplc="FFFFFFFF">
      <w:numFmt w:val="bullet"/>
      <w:lvlText w:val="•"/>
      <w:lvlJc w:val="left"/>
      <w:pPr>
        <w:ind w:left="6516" w:hanging="360"/>
      </w:pPr>
      <w:rPr>
        <w:rFonts w:hint="default"/>
        <w:lang w:val="en-US" w:eastAsia="en-US" w:bidi="en-US"/>
      </w:rPr>
    </w:lvl>
    <w:lvl w:ilvl="7" w:tplc="FFFFFFFF">
      <w:numFmt w:val="bullet"/>
      <w:lvlText w:val="•"/>
      <w:lvlJc w:val="left"/>
      <w:pPr>
        <w:ind w:left="7543" w:hanging="360"/>
      </w:pPr>
      <w:rPr>
        <w:rFonts w:hint="default"/>
        <w:lang w:val="en-US" w:eastAsia="en-US" w:bidi="en-US"/>
      </w:rPr>
    </w:lvl>
    <w:lvl w:ilvl="8" w:tplc="FFFFFFFF">
      <w:numFmt w:val="bullet"/>
      <w:lvlText w:val="•"/>
      <w:lvlJc w:val="left"/>
      <w:pPr>
        <w:ind w:left="8570" w:hanging="360"/>
      </w:pPr>
      <w:rPr>
        <w:rFonts w:hint="default"/>
        <w:lang w:val="en-US" w:eastAsia="en-US" w:bidi="en-US"/>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9"/>
  </w:num>
  <w:num w:numId="2" w16cid:durableId="161354219">
    <w:abstractNumId w:val="12"/>
  </w:num>
  <w:num w:numId="3" w16cid:durableId="367529949">
    <w:abstractNumId w:val="18"/>
  </w:num>
  <w:num w:numId="4" w16cid:durableId="2113237724">
    <w:abstractNumId w:val="1"/>
  </w:num>
  <w:num w:numId="5" w16cid:durableId="1420172599">
    <w:abstractNumId w:val="4"/>
  </w:num>
  <w:num w:numId="6" w16cid:durableId="1278486410">
    <w:abstractNumId w:val="7"/>
  </w:num>
  <w:num w:numId="7" w16cid:durableId="1918974587">
    <w:abstractNumId w:val="29"/>
  </w:num>
  <w:num w:numId="8" w16cid:durableId="1066414557">
    <w:abstractNumId w:val="14"/>
  </w:num>
  <w:num w:numId="9" w16cid:durableId="1662925891">
    <w:abstractNumId w:val="23"/>
  </w:num>
  <w:num w:numId="10" w16cid:durableId="678048633">
    <w:abstractNumId w:val="28"/>
  </w:num>
  <w:num w:numId="11" w16cid:durableId="1710643530">
    <w:abstractNumId w:val="17"/>
  </w:num>
  <w:num w:numId="12" w16cid:durableId="1014963863">
    <w:abstractNumId w:val="20"/>
  </w:num>
  <w:num w:numId="13" w16cid:durableId="1855924810">
    <w:abstractNumId w:val="27"/>
  </w:num>
  <w:num w:numId="14" w16cid:durableId="1070882303">
    <w:abstractNumId w:val="25"/>
  </w:num>
  <w:num w:numId="15" w16cid:durableId="1279794217">
    <w:abstractNumId w:val="3"/>
  </w:num>
  <w:num w:numId="16" w16cid:durableId="1450009621">
    <w:abstractNumId w:val="22"/>
  </w:num>
  <w:num w:numId="17" w16cid:durableId="1366834961">
    <w:abstractNumId w:val="26"/>
  </w:num>
  <w:num w:numId="18" w16cid:durableId="1591280853">
    <w:abstractNumId w:val="33"/>
  </w:num>
  <w:num w:numId="19" w16cid:durableId="1209731318">
    <w:abstractNumId w:val="31"/>
  </w:num>
  <w:num w:numId="20" w16cid:durableId="1741556706">
    <w:abstractNumId w:val="5"/>
  </w:num>
  <w:num w:numId="21" w16cid:durableId="1032803811">
    <w:abstractNumId w:val="15"/>
  </w:num>
  <w:num w:numId="22" w16cid:durableId="2062900194">
    <w:abstractNumId w:val="11"/>
  </w:num>
  <w:num w:numId="23" w16cid:durableId="1507281094">
    <w:abstractNumId w:val="6"/>
  </w:num>
  <w:num w:numId="24" w16cid:durableId="1392657342">
    <w:abstractNumId w:val="32"/>
  </w:num>
  <w:num w:numId="25" w16cid:durableId="1797025421">
    <w:abstractNumId w:val="9"/>
  </w:num>
  <w:num w:numId="26" w16cid:durableId="333345465">
    <w:abstractNumId w:val="30"/>
  </w:num>
  <w:num w:numId="27" w16cid:durableId="1804930468">
    <w:abstractNumId w:val="0"/>
  </w:num>
  <w:num w:numId="28" w16cid:durableId="1922979966">
    <w:abstractNumId w:val="16"/>
  </w:num>
  <w:num w:numId="29" w16cid:durableId="279337811">
    <w:abstractNumId w:val="10"/>
  </w:num>
  <w:num w:numId="30" w16cid:durableId="2000035843">
    <w:abstractNumId w:val="21"/>
  </w:num>
  <w:num w:numId="31" w16cid:durableId="568999410">
    <w:abstractNumId w:val="13"/>
  </w:num>
  <w:num w:numId="32" w16cid:durableId="215509822">
    <w:abstractNumId w:val="8"/>
  </w:num>
  <w:num w:numId="33" w16cid:durableId="1196044253">
    <w:abstractNumId w:val="2"/>
  </w:num>
  <w:num w:numId="34" w16cid:durableId="8011910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A4AA1"/>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3E29"/>
    <w:rsid w:val="007132A7"/>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44023"/>
    <w:rsid w:val="00955A2A"/>
    <w:rsid w:val="00964945"/>
    <w:rsid w:val="009C0BC6"/>
    <w:rsid w:val="009D65D9"/>
    <w:rsid w:val="009E10D1"/>
    <w:rsid w:val="009F008B"/>
    <w:rsid w:val="009F2459"/>
    <w:rsid w:val="009F694F"/>
    <w:rsid w:val="00A12DA0"/>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621ED"/>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B7077"/>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347A"/>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2025-10-06T16:11:00Z</dcterms:created>
  <dcterms:modified xsi:type="dcterms:W3CDTF">2025-10-06T16:11:00Z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