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9B" w14:textId="780ABF58" w:rsidR="00874037" w:rsidRDefault="00DA4DA2" w:rsidP="00EB63F4">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AC4AB" w14:textId="7A3E6135" w:rsidR="004942A3" w:rsidRPr="006F0193" w:rsidRDefault="0050449E" w:rsidP="005F3CDB">
                            <w:pPr>
                              <w:spacing w:after="0" w:line="240" w:lineRule="auto"/>
                              <w:ind w:left="720" w:hanging="720"/>
                              <w:jc w:val="center"/>
                              <w:rPr>
                                <w:rFonts w:eastAsia="Verdana" w:cstheme="minorHAnsi"/>
                                <w:sz w:val="36"/>
                                <w:szCs w:val="36"/>
                                <w:lang w:bidi="en-US"/>
                              </w:rPr>
                            </w:pPr>
                            <w:bookmarkStart w:id="0" w:name="_Hlk129337215"/>
                            <w:r>
                              <w:rPr>
                                <w:rFonts w:eastAsia="Verdana" w:cstheme="minorHAnsi"/>
                                <w:sz w:val="36"/>
                                <w:szCs w:val="36"/>
                                <w:lang w:bidi="en-US"/>
                              </w:rPr>
                              <w:t>Thrombolytics After the Window: Expanding the Stroke Treatment Timeline</w:t>
                            </w:r>
                          </w:p>
                          <w:p w14:paraId="127390E2" w14:textId="73276082" w:rsidR="008160DB" w:rsidRPr="00565174" w:rsidRDefault="0050449E" w:rsidP="005F3CDB">
                            <w:pPr>
                              <w:spacing w:after="0" w:line="240" w:lineRule="auto"/>
                              <w:ind w:left="720" w:hanging="720"/>
                              <w:jc w:val="center"/>
                              <w:rPr>
                                <w:sz w:val="24"/>
                                <w:szCs w:val="24"/>
                              </w:rPr>
                            </w:pPr>
                            <w:r>
                              <w:rPr>
                                <w:sz w:val="24"/>
                                <w:szCs w:val="24"/>
                              </w:rPr>
                              <w:t>11/18/2025, 12:00 CT/1:00ET</w:t>
                            </w:r>
                            <w:r w:rsidR="008160DB" w:rsidRPr="00565174">
                              <w:rPr>
                                <w:sz w:val="24"/>
                                <w:szCs w:val="24"/>
                              </w:rPr>
                              <w:t xml:space="preserve"> | </w:t>
                            </w:r>
                            <w:r>
                              <w:rPr>
                                <w:sz w:val="24"/>
                                <w:szCs w:val="24"/>
                              </w:rPr>
                              <w:t>Aurora St. Luke’s Medical Center, Grede Auditorium</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filled="f" stroked="f" strokeweight="1pt">
                <v:textbox>
                  <w:txbxContent>
                    <w:p w14:paraId="150AC4AB" w14:textId="7A3E6135" w:rsidR="004942A3" w:rsidRPr="006F0193" w:rsidRDefault="0050449E" w:rsidP="005F3CDB">
                      <w:pPr>
                        <w:spacing w:after="0" w:line="240" w:lineRule="auto"/>
                        <w:ind w:left="720" w:hanging="720"/>
                        <w:jc w:val="center"/>
                        <w:rPr>
                          <w:rFonts w:eastAsia="Verdana" w:cstheme="minorHAnsi"/>
                          <w:sz w:val="36"/>
                          <w:szCs w:val="36"/>
                          <w:lang w:bidi="en-US"/>
                        </w:rPr>
                      </w:pPr>
                      <w:bookmarkStart w:id="1" w:name="_Hlk129337215"/>
                      <w:r>
                        <w:rPr>
                          <w:rFonts w:eastAsia="Verdana" w:cstheme="minorHAnsi"/>
                          <w:sz w:val="36"/>
                          <w:szCs w:val="36"/>
                          <w:lang w:bidi="en-US"/>
                        </w:rPr>
                        <w:t>Thrombolytics After the Window: Expanding the Stroke Treatment Timeline</w:t>
                      </w:r>
                    </w:p>
                    <w:p w14:paraId="127390E2" w14:textId="73276082" w:rsidR="008160DB" w:rsidRPr="00565174" w:rsidRDefault="0050449E" w:rsidP="005F3CDB">
                      <w:pPr>
                        <w:spacing w:after="0" w:line="240" w:lineRule="auto"/>
                        <w:ind w:left="720" w:hanging="720"/>
                        <w:jc w:val="center"/>
                        <w:rPr>
                          <w:sz w:val="24"/>
                          <w:szCs w:val="24"/>
                        </w:rPr>
                      </w:pPr>
                      <w:r>
                        <w:rPr>
                          <w:sz w:val="24"/>
                          <w:szCs w:val="24"/>
                        </w:rPr>
                        <w:t>11/18/2025, 12:00 CT/1:00ET</w:t>
                      </w:r>
                      <w:r w:rsidR="008160DB" w:rsidRPr="00565174">
                        <w:rPr>
                          <w:sz w:val="24"/>
                          <w:szCs w:val="24"/>
                        </w:rPr>
                        <w:t xml:space="preserve"> | </w:t>
                      </w:r>
                      <w:r>
                        <w:rPr>
                          <w:sz w:val="24"/>
                          <w:szCs w:val="24"/>
                        </w:rPr>
                        <w:t>Aurora St. Luke’s Medical Center, Grede Auditorium</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14:paraId="2A8DE672" w14:textId="77777777" w:rsidR="0050449E" w:rsidRDefault="0050449E" w:rsidP="00EB63F4">
      <w:pPr>
        <w:pStyle w:val="BodyText"/>
        <w:spacing w:before="2" w:line="249" w:lineRule="auto"/>
        <w:ind w:right="216"/>
        <w:rPr>
          <w:b/>
          <w:bCs/>
          <w:sz w:val="18"/>
          <w:szCs w:val="18"/>
        </w:rPr>
      </w:pPr>
    </w:p>
    <w:p w14:paraId="444F96E4" w14:textId="4C350F04" w:rsidR="0065650A" w:rsidRPr="0050449E" w:rsidRDefault="00F65EA8" w:rsidP="00EB63F4">
      <w:pPr>
        <w:pStyle w:val="BodyText"/>
        <w:spacing w:before="2" w:line="249" w:lineRule="auto"/>
        <w:ind w:right="216"/>
        <w:rPr>
          <w:sz w:val="18"/>
          <w:szCs w:val="18"/>
        </w:rPr>
      </w:pPr>
      <w:r w:rsidRPr="0050449E">
        <w:rPr>
          <w:b/>
          <w:bCs/>
          <w:sz w:val="18"/>
          <w:szCs w:val="18"/>
        </w:rPr>
        <w:t xml:space="preserve">Overview: </w:t>
      </w:r>
      <w:r w:rsidR="0050449E" w:rsidRPr="0050449E">
        <w:rPr>
          <w:sz w:val="18"/>
          <w:szCs w:val="18"/>
        </w:rPr>
        <w:t xml:space="preserve">This presentation will review the available literature on the use of </w:t>
      </w:r>
      <w:proofErr w:type="spellStart"/>
      <w:r w:rsidR="0050449E" w:rsidRPr="0050449E">
        <w:rPr>
          <w:sz w:val="18"/>
          <w:szCs w:val="18"/>
        </w:rPr>
        <w:t>intravaneous</w:t>
      </w:r>
      <w:proofErr w:type="spellEnd"/>
      <w:r w:rsidR="0050449E" w:rsidRPr="0050449E">
        <w:rPr>
          <w:sz w:val="18"/>
          <w:szCs w:val="18"/>
        </w:rPr>
        <w:t xml:space="preserve"> thrombolysis beyond the conventional 4.5-hour treatment window, both in conjunction with mechanical thrombectomy and as a standalone therapy. It will also examine current guideline recommendations and provide a comprehensive overview of acute ischemic stroke, including background, management strategies, and treatment considerations. </w:t>
      </w:r>
    </w:p>
    <w:p w14:paraId="5D6078F1" w14:textId="77777777" w:rsidR="00D354ED" w:rsidRPr="0050449E" w:rsidRDefault="00D354ED" w:rsidP="00EB63F4">
      <w:pPr>
        <w:pStyle w:val="BodyText"/>
        <w:spacing w:before="2" w:line="249" w:lineRule="auto"/>
        <w:ind w:right="216"/>
        <w:rPr>
          <w:sz w:val="18"/>
          <w:szCs w:val="18"/>
        </w:rPr>
      </w:pPr>
    </w:p>
    <w:p w14:paraId="26DE9662" w14:textId="2129AD5B" w:rsidR="000A23CA" w:rsidRPr="0050449E" w:rsidRDefault="00F65EA8" w:rsidP="00322A54">
      <w:pPr>
        <w:pStyle w:val="BodyText"/>
        <w:spacing w:line="227" w:lineRule="exact"/>
        <w:rPr>
          <w:sz w:val="18"/>
          <w:szCs w:val="18"/>
        </w:rPr>
      </w:pPr>
      <w:r w:rsidRPr="0050449E">
        <w:rPr>
          <w:b/>
          <w:bCs/>
          <w:sz w:val="18"/>
          <w:szCs w:val="18"/>
        </w:rPr>
        <w:t>Speaker: </w:t>
      </w:r>
      <w:r w:rsidR="0050449E" w:rsidRPr="0050449E">
        <w:rPr>
          <w:rFonts w:eastAsia="Times New Roman" w:cs="Times New Roman"/>
          <w:color w:val="000000" w:themeColor="text1"/>
          <w:sz w:val="18"/>
          <w:szCs w:val="18"/>
        </w:rPr>
        <w:t xml:space="preserve">Christina Pecoraro, PharmD, PGY2 Critical Care Pharmacy Resident – Aurora HealthCare Metro, Inc. </w:t>
      </w:r>
    </w:p>
    <w:p w14:paraId="2F1FB2F7" w14:textId="77777777" w:rsidR="00322A54" w:rsidRPr="0050449E" w:rsidRDefault="00322A54" w:rsidP="00322A54">
      <w:pPr>
        <w:pStyle w:val="BodyText"/>
        <w:spacing w:line="227" w:lineRule="exact"/>
        <w:rPr>
          <w:b/>
          <w:bCs/>
          <w:sz w:val="18"/>
          <w:szCs w:val="18"/>
        </w:rPr>
      </w:pPr>
    </w:p>
    <w:p w14:paraId="7AC66434" w14:textId="4A8CC1E0" w:rsidR="00D15356" w:rsidRPr="0050449E" w:rsidRDefault="00B45C82" w:rsidP="00434450">
      <w:pPr>
        <w:rPr>
          <w:rFonts w:ascii="Verdana" w:hAnsi="Verdana"/>
          <w:sz w:val="18"/>
          <w:szCs w:val="18"/>
        </w:rPr>
      </w:pPr>
      <w:r w:rsidRPr="0050449E">
        <w:rPr>
          <w:rFonts w:ascii="Verdana" w:hAnsi="Verdana"/>
          <w:b/>
          <w:bCs/>
          <w:sz w:val="18"/>
          <w:szCs w:val="18"/>
        </w:rPr>
        <w:t>Preceptor</w:t>
      </w:r>
      <w:r w:rsidR="0050449E" w:rsidRPr="0050449E">
        <w:rPr>
          <w:rFonts w:ascii="Verdana" w:hAnsi="Verdana"/>
          <w:b/>
          <w:bCs/>
          <w:sz w:val="18"/>
          <w:szCs w:val="18"/>
        </w:rPr>
        <w:t xml:space="preserve">s: </w:t>
      </w:r>
      <w:r w:rsidR="0050449E" w:rsidRPr="0050449E">
        <w:rPr>
          <w:rFonts w:ascii="Verdana" w:hAnsi="Verdana"/>
          <w:sz w:val="18"/>
          <w:szCs w:val="18"/>
        </w:rPr>
        <w:t>Brad Hettich, PharmD, BCCCP and Dave Antoine, PharmD, BCCCP</w:t>
      </w:r>
    </w:p>
    <w:p w14:paraId="055EF5BB" w14:textId="77777777" w:rsidR="00F65EA8" w:rsidRPr="0050449E" w:rsidRDefault="00F65EA8" w:rsidP="00F65EA8">
      <w:pPr>
        <w:spacing w:line="240" w:lineRule="auto"/>
        <w:rPr>
          <w:rFonts w:ascii="Verdana" w:hAnsi="Verdana"/>
          <w:b/>
          <w:bCs/>
          <w:sz w:val="18"/>
          <w:szCs w:val="18"/>
        </w:rPr>
      </w:pPr>
      <w:r w:rsidRPr="0050449E">
        <w:rPr>
          <w:rFonts w:ascii="Verdana" w:hAnsi="Verdana"/>
          <w:b/>
          <w:bCs/>
          <w:sz w:val="18"/>
          <w:szCs w:val="18"/>
        </w:rPr>
        <w:t xml:space="preserve">Objectives: </w:t>
      </w:r>
      <w:r w:rsidRPr="0050449E">
        <w:rPr>
          <w:rFonts w:ascii="Arial" w:hAnsi="Arial" w:cs="Arial"/>
          <w:b/>
          <w:bCs/>
          <w:sz w:val="18"/>
          <w:szCs w:val="18"/>
        </w:rPr>
        <w:t>​​</w:t>
      </w:r>
    </w:p>
    <w:p w14:paraId="03B00090" w14:textId="0702B5C6" w:rsidR="00567102" w:rsidRPr="0050449E" w:rsidRDefault="0050449E" w:rsidP="00567102">
      <w:pPr>
        <w:numPr>
          <w:ilvl w:val="0"/>
          <w:numId w:val="32"/>
        </w:numPr>
        <w:spacing w:line="240" w:lineRule="auto"/>
        <w:rPr>
          <w:rFonts w:ascii="Verdana" w:hAnsi="Verdana"/>
          <w:sz w:val="18"/>
          <w:szCs w:val="20"/>
        </w:rPr>
      </w:pPr>
      <w:r w:rsidRPr="0050449E">
        <w:rPr>
          <w:rFonts w:ascii="Verdana" w:hAnsi="Verdana"/>
          <w:sz w:val="18"/>
          <w:szCs w:val="20"/>
        </w:rPr>
        <w:t>Recall the pharmacology and pharmacokinetics of thrombolytic agents used in acute ischemic stroke</w:t>
      </w:r>
    </w:p>
    <w:p w14:paraId="12124133" w14:textId="0A717E2A" w:rsidR="00567102" w:rsidRPr="0050449E" w:rsidRDefault="0050449E" w:rsidP="00567102">
      <w:pPr>
        <w:numPr>
          <w:ilvl w:val="0"/>
          <w:numId w:val="32"/>
        </w:numPr>
        <w:spacing w:line="240" w:lineRule="auto"/>
        <w:rPr>
          <w:rFonts w:ascii="Verdana" w:hAnsi="Verdana"/>
          <w:sz w:val="18"/>
          <w:szCs w:val="20"/>
        </w:rPr>
      </w:pPr>
      <w:r w:rsidRPr="0050449E">
        <w:rPr>
          <w:rFonts w:ascii="Verdana" w:hAnsi="Verdana"/>
          <w:sz w:val="18"/>
          <w:szCs w:val="20"/>
        </w:rPr>
        <w:t>Outline current guidelines and criteria for thrombolytic administration, including the traditional 4.5-hour window</w:t>
      </w:r>
    </w:p>
    <w:p w14:paraId="615BED6F" w14:textId="2432983B" w:rsidR="00567102" w:rsidRPr="0050449E" w:rsidRDefault="0050449E" w:rsidP="00567102">
      <w:pPr>
        <w:numPr>
          <w:ilvl w:val="0"/>
          <w:numId w:val="32"/>
        </w:numPr>
        <w:spacing w:line="240" w:lineRule="auto"/>
        <w:rPr>
          <w:rFonts w:ascii="Verdana" w:hAnsi="Verdana"/>
          <w:sz w:val="18"/>
          <w:szCs w:val="20"/>
        </w:rPr>
      </w:pPr>
      <w:r w:rsidRPr="0050449E">
        <w:rPr>
          <w:rFonts w:ascii="Verdana" w:hAnsi="Verdana"/>
          <w:sz w:val="18"/>
          <w:szCs w:val="20"/>
        </w:rPr>
        <w:t>State recent clinical trial data supporting thrombolytic use beyond the standard treatment window</w:t>
      </w:r>
    </w:p>
    <w:p w14:paraId="03DB2450" w14:textId="2FC9B98F" w:rsidR="0050449E" w:rsidRPr="0050449E" w:rsidRDefault="0050449E" w:rsidP="00567102">
      <w:pPr>
        <w:numPr>
          <w:ilvl w:val="0"/>
          <w:numId w:val="32"/>
        </w:numPr>
        <w:spacing w:line="240" w:lineRule="auto"/>
        <w:rPr>
          <w:rFonts w:ascii="Verdana" w:hAnsi="Verdana"/>
          <w:sz w:val="18"/>
          <w:szCs w:val="20"/>
        </w:rPr>
      </w:pPr>
      <w:r w:rsidRPr="0050449E">
        <w:rPr>
          <w:rFonts w:ascii="Verdana" w:hAnsi="Verdana"/>
          <w:sz w:val="18"/>
          <w:szCs w:val="20"/>
        </w:rPr>
        <w:t>Select an evidence-based approach to thrombolytic therapy timing for patients presenting outside the traditional window</w:t>
      </w:r>
    </w:p>
    <w:p w14:paraId="196CD146" w14:textId="41503213" w:rsidR="00F65EA8" w:rsidRPr="0050449E" w:rsidRDefault="00F65EA8" w:rsidP="00EA7AE4">
      <w:pPr>
        <w:spacing w:line="240" w:lineRule="auto"/>
        <w:rPr>
          <w:rFonts w:ascii="Verdana" w:hAnsi="Verdana"/>
          <w:b/>
          <w:bCs/>
          <w:sz w:val="18"/>
          <w:szCs w:val="18"/>
        </w:rPr>
      </w:pPr>
      <w:r w:rsidRPr="0050449E">
        <w:rPr>
          <w:rFonts w:ascii="Verdana" w:hAnsi="Verdana"/>
          <w:b/>
          <w:bCs/>
          <w:sz w:val="18"/>
          <w:szCs w:val="18"/>
        </w:rPr>
        <w:t>Target Audience:</w:t>
      </w:r>
      <w:r w:rsidRPr="0050449E">
        <w:rPr>
          <w:rFonts w:ascii="Arial" w:hAnsi="Arial" w:cs="Arial"/>
          <w:b/>
          <w:bCs/>
          <w:sz w:val="18"/>
          <w:szCs w:val="18"/>
        </w:rPr>
        <w:t>​</w:t>
      </w:r>
      <w:r w:rsidRPr="0050449E">
        <w:rPr>
          <w:rFonts w:ascii="Verdana" w:hAnsi="Verdana"/>
          <w:b/>
          <w:bCs/>
          <w:sz w:val="18"/>
          <w:szCs w:val="18"/>
        </w:rPr>
        <w:t xml:space="preserve"> </w:t>
      </w:r>
      <w:r w:rsidRPr="0050449E">
        <w:rPr>
          <w:rFonts w:ascii="Verdana" w:hAnsi="Verdana"/>
          <w:sz w:val="18"/>
          <w:szCs w:val="18"/>
        </w:rPr>
        <w:t xml:space="preserve">Advocate </w:t>
      </w:r>
      <w:r w:rsidR="00D8590F" w:rsidRPr="0050449E">
        <w:rPr>
          <w:rFonts w:ascii="Verdana" w:hAnsi="Verdana"/>
          <w:sz w:val="18"/>
          <w:szCs w:val="18"/>
        </w:rPr>
        <w:t xml:space="preserve">Health </w:t>
      </w:r>
      <w:r w:rsidRPr="0050449E">
        <w:rPr>
          <w:rFonts w:ascii="Verdana" w:hAnsi="Verdana"/>
          <w:sz w:val="18"/>
          <w:szCs w:val="18"/>
        </w:rPr>
        <w:t>Pharmacists</w:t>
      </w:r>
      <w:r w:rsidR="00FB4480" w:rsidRPr="0050449E">
        <w:rPr>
          <w:rFonts w:ascii="Verdana" w:hAnsi="Verdana"/>
          <w:sz w:val="18"/>
          <w:szCs w:val="18"/>
        </w:rPr>
        <w:t>, Physicians, Nurses, and other interested healthcare professionals</w:t>
      </w:r>
    </w:p>
    <w:p w14:paraId="7EA526BE" w14:textId="77777777" w:rsidR="00F65EA8" w:rsidRPr="0050449E" w:rsidRDefault="00F65EA8" w:rsidP="000A797A">
      <w:pPr>
        <w:spacing w:line="240" w:lineRule="auto"/>
        <w:rPr>
          <w:rFonts w:ascii="Verdana" w:hAnsi="Verdana"/>
          <w:b/>
          <w:bCs/>
          <w:sz w:val="18"/>
          <w:szCs w:val="18"/>
        </w:rPr>
      </w:pPr>
      <w:r w:rsidRPr="0050449E">
        <w:rPr>
          <w:rFonts w:ascii="Verdana" w:hAnsi="Verdana"/>
          <w:b/>
          <w:bCs/>
          <w:sz w:val="18"/>
          <w:szCs w:val="18"/>
        </w:rPr>
        <w:t>Disclosure:</w:t>
      </w:r>
      <w:r w:rsidRPr="0050449E">
        <w:rPr>
          <w:rFonts w:ascii="Arial" w:hAnsi="Arial" w:cs="Arial"/>
          <w:b/>
          <w:bCs/>
          <w:sz w:val="18"/>
          <w:szCs w:val="18"/>
        </w:rPr>
        <w:t>​</w:t>
      </w:r>
      <w:r w:rsidRPr="0050449E">
        <w:rPr>
          <w:rFonts w:ascii="Verdana" w:hAnsi="Verdana"/>
          <w:b/>
          <w:bCs/>
          <w:sz w:val="18"/>
          <w:szCs w:val="18"/>
        </w:rPr>
        <w:t xml:space="preserve"> </w:t>
      </w:r>
      <w:r w:rsidRPr="0050449E">
        <w:rPr>
          <w:rFonts w:ascii="Verdana" w:hAnsi="Verdana"/>
          <w:sz w:val="18"/>
          <w:szCs w:val="18"/>
        </w:rPr>
        <w:t>The planner(s) and speaker(s) have indicated that there are no relevant financial relationships with any ineligible companies to disclose.</w:t>
      </w:r>
      <w:r w:rsidRPr="0050449E">
        <w:rPr>
          <w:rFonts w:ascii="Verdana" w:hAnsi="Verdana"/>
          <w:b/>
          <w:bCs/>
          <w:sz w:val="18"/>
          <w:szCs w:val="18"/>
        </w:rPr>
        <w:t> </w:t>
      </w:r>
    </w:p>
    <w:p w14:paraId="23C08749" w14:textId="5237E445" w:rsidR="00900B72" w:rsidRPr="0050449E" w:rsidRDefault="00F65EA8" w:rsidP="00F65EA8">
      <w:pPr>
        <w:spacing w:line="240" w:lineRule="auto"/>
        <w:rPr>
          <w:rFonts w:ascii="Verdana" w:hAnsi="Verdana"/>
          <w:sz w:val="18"/>
          <w:szCs w:val="18"/>
        </w:rPr>
      </w:pPr>
      <w:r w:rsidRPr="0050449E">
        <w:rPr>
          <w:rFonts w:ascii="Verdana" w:hAnsi="Verdana"/>
          <w:b/>
          <w:bCs/>
          <w:sz w:val="18"/>
          <w:szCs w:val="18"/>
        </w:rPr>
        <w:t xml:space="preserve">Commercial Support: </w:t>
      </w:r>
      <w:r w:rsidRPr="0050449E">
        <w:rPr>
          <w:rFonts w:ascii="Verdana" w:hAnsi="Verdana"/>
          <w:sz w:val="18"/>
          <w:szCs w:val="18"/>
        </w:rPr>
        <w:t>There is no financial support for th</w:t>
      </w:r>
      <w:r w:rsidR="00D8590F" w:rsidRPr="0050449E">
        <w:rPr>
          <w:rFonts w:ascii="Verdana" w:hAnsi="Verdana"/>
          <w:sz w:val="18"/>
          <w:szCs w:val="18"/>
        </w:rPr>
        <w:t>is</w:t>
      </w:r>
      <w:r w:rsidRPr="0050449E">
        <w:rPr>
          <w:rFonts w:ascii="Verdana" w:hAnsi="Verdana"/>
          <w:sz w:val="18"/>
          <w:szCs w:val="18"/>
        </w:rPr>
        <w:t xml:space="preserve"> activit</w:t>
      </w:r>
      <w:r w:rsidR="00D8590F" w:rsidRPr="0050449E">
        <w:rPr>
          <w:rFonts w:ascii="Verdana" w:hAnsi="Verdana"/>
          <w:sz w:val="18"/>
          <w:szCs w:val="18"/>
        </w:rPr>
        <w:t>y</w:t>
      </w:r>
      <w:r w:rsidRPr="0050449E">
        <w:rPr>
          <w:rFonts w:ascii="Verdana" w:hAnsi="Verdana"/>
          <w:sz w:val="18"/>
          <w:szCs w:val="18"/>
        </w:rPr>
        <w:t>.</w:t>
      </w:r>
    </w:p>
    <w:p w14:paraId="3AC4A004" w14:textId="77777777" w:rsidR="00E842EB" w:rsidRPr="0050449E" w:rsidRDefault="00E842EB" w:rsidP="000847D8">
      <w:pPr>
        <w:pStyle w:val="paragraph"/>
        <w:spacing w:before="0" w:beforeAutospacing="0" w:after="0" w:afterAutospacing="0"/>
        <w:textAlignment w:val="baseline"/>
        <w:rPr>
          <w:rStyle w:val="eop"/>
          <w:rFonts w:ascii="Verdana" w:hAnsi="Verdana" w:cstheme="minorHAnsi"/>
          <w:sz w:val="18"/>
          <w:szCs w:val="18"/>
        </w:rPr>
      </w:pPr>
      <w:r w:rsidRPr="0050449E">
        <w:rPr>
          <w:rStyle w:val="normaltextrun"/>
          <w:rFonts w:ascii="Verdana" w:hAnsi="Verdana" w:cstheme="minorHAnsi"/>
          <w:b/>
          <w:bCs/>
          <w:position w:val="-1"/>
          <w:sz w:val="18"/>
          <w:szCs w:val="18"/>
        </w:rPr>
        <w:t>Accreditation Statement</w:t>
      </w:r>
      <w:r w:rsidRPr="0050449E">
        <w:rPr>
          <w:rStyle w:val="eop"/>
          <w:rFonts w:ascii="Verdana" w:hAnsi="Verdana" w:cstheme="minorHAnsi"/>
          <w:sz w:val="18"/>
          <w:szCs w:val="18"/>
        </w:rPr>
        <w:t>:</w:t>
      </w:r>
    </w:p>
    <w:p w14:paraId="4821263C" w14:textId="77777777" w:rsidR="00E842EB" w:rsidRPr="0050449E" w:rsidRDefault="00E842EB" w:rsidP="000847D8">
      <w:pPr>
        <w:spacing w:after="0" w:line="240" w:lineRule="auto"/>
        <w:textAlignment w:val="baseline"/>
        <w:rPr>
          <w:rFonts w:ascii="Verdana" w:eastAsia="Times New Roman" w:hAnsi="Verdana" w:cs="Univers 45 Light"/>
          <w:b/>
          <w:bCs/>
          <w:kern w:val="24"/>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50449E" w14:paraId="2B1D1D73" w14:textId="77777777" w:rsidTr="47A55E8E">
        <w:tc>
          <w:tcPr>
            <w:tcW w:w="1838" w:type="dxa"/>
          </w:tcPr>
          <w:p w14:paraId="2F8FB65E" w14:textId="64B1CEDD" w:rsidR="00E842EB" w:rsidRPr="0050449E" w:rsidRDefault="00E842EB" w:rsidP="000847D8">
            <w:pPr>
              <w:textAlignment w:val="baseline"/>
              <w:rPr>
                <w:rFonts w:ascii="Verdana" w:eastAsia="Times New Roman" w:hAnsi="Verdana" w:cs="Univers 45 Light"/>
                <w:b/>
                <w:bCs/>
                <w:kern w:val="24"/>
                <w:sz w:val="18"/>
                <w:szCs w:val="18"/>
              </w:rPr>
            </w:pPr>
            <w:r w:rsidRPr="0050449E">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50449E" w:rsidRDefault="00E842EB" w:rsidP="000847D8">
            <w:pPr>
              <w:textAlignment w:val="baseline"/>
              <w:rPr>
                <w:rFonts w:ascii="Verdana" w:eastAsia="Times New Roman" w:hAnsi="Verdana" w:cs="Univers 45 Light"/>
                <w:b/>
                <w:bCs/>
                <w:kern w:val="24"/>
                <w:sz w:val="18"/>
                <w:szCs w:val="18"/>
              </w:rPr>
            </w:pPr>
            <w:r w:rsidRPr="0050449E">
              <w:rPr>
                <w:rFonts w:ascii="Verdana" w:eastAsia="Times New Roman" w:hAnsi="Verdana" w:cs="Univers 45 Light"/>
                <w:kern w:val="24"/>
                <w:sz w:val="18"/>
                <w:szCs w:val="18"/>
              </w:rPr>
              <w:t>In</w:t>
            </w:r>
            <w:r w:rsidRPr="0050449E">
              <w:rPr>
                <w:rFonts w:ascii="Verdana" w:eastAsia="Times New Roman" w:hAnsi="Verdana" w:cs="Univers 45 Light"/>
                <w:b/>
                <w:bCs/>
                <w:kern w:val="24"/>
                <w:sz w:val="18"/>
                <w:szCs w:val="18"/>
              </w:rPr>
              <w:t xml:space="preserve"> </w:t>
            </w:r>
            <w:r w:rsidRPr="0050449E">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50449E" w:rsidRDefault="00D61C7F" w:rsidP="000847D8">
      <w:pPr>
        <w:spacing w:after="0" w:line="240" w:lineRule="auto"/>
        <w:ind w:left="255"/>
        <w:textAlignment w:val="baseline"/>
        <w:rPr>
          <w:rFonts w:ascii="Verdana" w:eastAsia="Times New Roman" w:hAnsi="Verdana" w:cs="Segoe UI"/>
          <w:b/>
          <w:bCs/>
          <w:sz w:val="18"/>
          <w:szCs w:val="18"/>
        </w:rPr>
      </w:pPr>
    </w:p>
    <w:p w14:paraId="64D47D5F" w14:textId="56817C76" w:rsidR="00F65EA8" w:rsidRPr="0050449E" w:rsidRDefault="0087352F" w:rsidP="000A797A">
      <w:pPr>
        <w:spacing w:line="240" w:lineRule="auto"/>
        <w:ind w:left="255"/>
        <w:textAlignment w:val="baseline"/>
        <w:rPr>
          <w:rFonts w:eastAsia="Times New Roman" w:cs="Segoe UI"/>
          <w:sz w:val="18"/>
          <w:szCs w:val="18"/>
        </w:rPr>
      </w:pPr>
      <w:r w:rsidRPr="0050449E">
        <w:rPr>
          <w:rFonts w:ascii="Verdana" w:eastAsia="Times New Roman" w:hAnsi="Verdana" w:cs="Segoe UI"/>
          <w:b/>
          <w:bCs/>
          <w:sz w:val="18"/>
          <w:szCs w:val="18"/>
        </w:rPr>
        <w:t>Credit Statement(s): </w:t>
      </w:r>
    </w:p>
    <w:p w14:paraId="6D8CED07" w14:textId="77777777" w:rsidR="009F2459" w:rsidRPr="0050449E" w:rsidRDefault="00D61C7F" w:rsidP="009F2459">
      <w:pPr>
        <w:pStyle w:val="BodyText"/>
        <w:ind w:left="267"/>
        <w:rPr>
          <w:sz w:val="18"/>
          <w:szCs w:val="18"/>
        </w:rPr>
      </w:pPr>
      <w:r w:rsidRPr="0050449E">
        <w:rPr>
          <w:b/>
          <w:bCs/>
          <w:sz w:val="18"/>
          <w:szCs w:val="18"/>
        </w:rPr>
        <w:t>Accreditation Council for Pharmacy Education (ACPE):</w:t>
      </w:r>
      <w:r w:rsidRPr="0050449E">
        <w:rPr>
          <w:sz w:val="18"/>
          <w:szCs w:val="18"/>
        </w:rPr>
        <w:t xml:space="preserve"> </w:t>
      </w:r>
      <w:r w:rsidR="000847D8" w:rsidRPr="0050449E">
        <w:rPr>
          <w:sz w:val="18"/>
          <w:szCs w:val="18"/>
        </w:rPr>
        <w:br/>
      </w:r>
      <w:r w:rsidRPr="0050449E">
        <w:rPr>
          <w:sz w:val="18"/>
          <w:szCs w:val="18"/>
        </w:rPr>
        <w:t xml:space="preserve">Advocate Health designates this live activity for a maximum of </w:t>
      </w:r>
      <w:r w:rsidR="00F65EA8" w:rsidRPr="0050449E">
        <w:rPr>
          <w:sz w:val="18"/>
          <w:szCs w:val="18"/>
        </w:rPr>
        <w:t>1</w:t>
      </w:r>
      <w:r w:rsidRPr="0050449E">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50449E">
        <w:rPr>
          <w:spacing w:val="6"/>
          <w:sz w:val="18"/>
          <w:szCs w:val="18"/>
        </w:rPr>
        <w:t xml:space="preserve"> </w:t>
      </w:r>
      <w:r w:rsidRPr="0050449E">
        <w:rPr>
          <w:sz w:val="18"/>
          <w:szCs w:val="18"/>
        </w:rPr>
        <w:t>activity.</w:t>
      </w:r>
      <w:r w:rsidR="009F2459" w:rsidRPr="0050449E">
        <w:rPr>
          <w:sz w:val="18"/>
          <w:szCs w:val="18"/>
        </w:rPr>
        <w:t xml:space="preserve"> </w:t>
      </w:r>
    </w:p>
    <w:p w14:paraId="5EA3101D" w14:textId="77777777" w:rsidR="00BF4185" w:rsidRPr="0050449E" w:rsidRDefault="00BF4185" w:rsidP="009F2459">
      <w:pPr>
        <w:pStyle w:val="BodyText"/>
        <w:ind w:left="267"/>
        <w:rPr>
          <w:sz w:val="18"/>
          <w:szCs w:val="18"/>
        </w:rPr>
      </w:pPr>
    </w:p>
    <w:p w14:paraId="61390B5F" w14:textId="4680F22C" w:rsidR="000A797A" w:rsidRPr="0050449E" w:rsidRDefault="009F2459" w:rsidP="0050449E">
      <w:pPr>
        <w:pStyle w:val="BodyText"/>
        <w:ind w:left="267"/>
      </w:pPr>
      <w:r w:rsidRPr="0050449E">
        <w:t xml:space="preserve">UAN: </w:t>
      </w:r>
      <w:r w:rsidR="0050449E" w:rsidRPr="0050449E">
        <w:t>JA0006327-0000-25-003-L01-P</w:t>
      </w:r>
    </w:p>
    <w:p w14:paraId="1D1D8A3C" w14:textId="77777777" w:rsidR="0050449E" w:rsidRPr="0050449E" w:rsidRDefault="0050449E" w:rsidP="0050449E">
      <w:pPr>
        <w:pStyle w:val="BodyText"/>
        <w:ind w:left="267"/>
        <w:rPr>
          <w:sz w:val="18"/>
          <w:szCs w:val="18"/>
        </w:rPr>
      </w:pPr>
    </w:p>
    <w:p w14:paraId="1EBBE735" w14:textId="5400890A" w:rsidR="00FB4480" w:rsidRPr="0050449E" w:rsidRDefault="00FB4480" w:rsidP="00FB4480">
      <w:pPr>
        <w:pStyle w:val="BodyText"/>
        <w:ind w:left="267"/>
        <w:rPr>
          <w:sz w:val="18"/>
          <w:szCs w:val="18"/>
        </w:rPr>
      </w:pPr>
      <w:r w:rsidRPr="0050449E">
        <w:rPr>
          <w:b/>
          <w:bCs/>
          <w:sz w:val="18"/>
          <w:szCs w:val="18"/>
        </w:rPr>
        <w:t>American Medical Association (AMA):</w:t>
      </w:r>
      <w:r w:rsidRPr="0050449E">
        <w:rPr>
          <w:sz w:val="18"/>
          <w:szCs w:val="18"/>
        </w:rPr>
        <w:t xml:space="preserve"> Advocate Health designates this live activity for a maximum </w:t>
      </w:r>
      <w:r w:rsidR="00E45F59" w:rsidRPr="0050449E">
        <w:rPr>
          <w:sz w:val="18"/>
          <w:szCs w:val="18"/>
        </w:rPr>
        <w:t>of 1.0</w:t>
      </w:r>
      <w:r w:rsidRPr="0050449E">
        <w:rPr>
          <w:sz w:val="18"/>
          <w:szCs w:val="18"/>
        </w:rPr>
        <w:t> </w:t>
      </w:r>
      <w:r w:rsidRPr="0050449E">
        <w:rPr>
          <w:i/>
          <w:iCs/>
          <w:sz w:val="18"/>
          <w:szCs w:val="18"/>
        </w:rPr>
        <w:t>AMA PRA Category 1 Credits™</w:t>
      </w:r>
      <w:r w:rsidRPr="0050449E">
        <w:rPr>
          <w:sz w:val="18"/>
          <w:szCs w:val="18"/>
        </w:rPr>
        <w:t>.  Physicians should claim only the credit commensurate with the extent of their participation in the activity. </w:t>
      </w:r>
    </w:p>
    <w:p w14:paraId="24E3C3EA" w14:textId="77777777" w:rsidR="000A797A" w:rsidRPr="0050449E" w:rsidRDefault="000A797A" w:rsidP="00FB4480">
      <w:pPr>
        <w:pStyle w:val="BodyText"/>
        <w:ind w:left="267"/>
        <w:rPr>
          <w:sz w:val="18"/>
          <w:szCs w:val="18"/>
        </w:rPr>
      </w:pPr>
    </w:p>
    <w:p w14:paraId="055E2158" w14:textId="03246DE3" w:rsidR="00F65EA8" w:rsidRPr="0050449E" w:rsidRDefault="00FB4480" w:rsidP="00B97706">
      <w:pPr>
        <w:pStyle w:val="BodyText"/>
        <w:ind w:left="267"/>
        <w:rPr>
          <w:sz w:val="18"/>
          <w:szCs w:val="18"/>
        </w:rPr>
      </w:pPr>
      <w:r w:rsidRPr="0050449E">
        <w:rPr>
          <w:b/>
          <w:bCs/>
          <w:sz w:val="18"/>
          <w:szCs w:val="18"/>
        </w:rPr>
        <w:t>American Nurses Credentialing Center (ANCC):</w:t>
      </w:r>
      <w:r w:rsidRPr="0050449E">
        <w:rPr>
          <w:sz w:val="18"/>
          <w:szCs w:val="18"/>
        </w:rPr>
        <w:t xml:space="preserve"> Advocate Health designates this live activity for a maximum of 1.0 ANCC contact hours/APRN pharmacological hours. Nurses should claim only the credit commensurate with the extent of their participation in the activity. </w:t>
      </w:r>
    </w:p>
    <w:p w14:paraId="4A0F3D76" w14:textId="37D457B8" w:rsidR="00C45F68" w:rsidRPr="00F65EA8" w:rsidRDefault="00C45F68" w:rsidP="00B45C82">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6F5DA2E0" w14:textId="20CE5CA9" w:rsidR="00BF4185" w:rsidRPr="00BF4185" w:rsidRDefault="00F65EA8" w:rsidP="0050449E">
      <w:pPr>
        <w:tabs>
          <w:tab w:val="left" w:pos="2486"/>
          <w:tab w:val="left" w:pos="4442"/>
          <w:tab w:val="left" w:pos="5944"/>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38B840"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380B86">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p w14:paraId="53F409D9" w14:textId="542AB2CE" w:rsidR="00BF4185" w:rsidRPr="00BF4185" w:rsidRDefault="00BF4185" w:rsidP="00BF4185">
      <w:pPr>
        <w:tabs>
          <w:tab w:val="left" w:pos="3480"/>
        </w:tabs>
        <w:rPr>
          <w:rFonts w:ascii="Verdana" w:eastAsia="Times New Roman" w:hAnsi="Verdana" w:cs="Segoe UI"/>
          <w:sz w:val="20"/>
          <w:szCs w:val="20"/>
        </w:rPr>
      </w:pPr>
      <w:r>
        <w:rPr>
          <w:rFonts w:ascii="Verdana" w:eastAsia="Times New Roman" w:hAnsi="Verdana" w:cs="Segoe UI"/>
          <w:sz w:val="20"/>
          <w:szCs w:val="20"/>
        </w:rPr>
        <w:tab/>
      </w:r>
    </w:p>
    <w:sectPr w:rsidR="00BF4185" w:rsidRPr="00BF4185"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4B5D" w14:textId="77777777" w:rsidR="000F4334" w:rsidRDefault="000F4334" w:rsidP="00055B10">
      <w:pPr>
        <w:spacing w:after="0" w:line="240" w:lineRule="auto"/>
      </w:pPr>
      <w:r>
        <w:separator/>
      </w:r>
    </w:p>
  </w:endnote>
  <w:endnote w:type="continuationSeparator" w:id="0">
    <w:p w14:paraId="17ECCAAD" w14:textId="77777777" w:rsidR="000F4334" w:rsidRDefault="000F4334"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0CDA96D5"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Created by</w:t>
    </w:r>
    <w:r w:rsidR="00E45F59">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D5165E">
      <w:rPr>
        <w:rFonts w:ascii="Arial" w:eastAsia="Arial" w:hAnsi="Arial" w:cs="Arial"/>
        <w:kern w:val="24"/>
        <w:sz w:val="16"/>
        <w:szCs w:val="16"/>
      </w:rPr>
      <w:t xml:space="preserve">Andrew </w:t>
    </w:r>
    <w:proofErr w:type="gramStart"/>
    <w:r w:rsidR="00D5165E">
      <w:rPr>
        <w:rFonts w:ascii="Arial" w:eastAsia="Arial" w:hAnsi="Arial" w:cs="Arial"/>
        <w:kern w:val="24"/>
        <w:sz w:val="16"/>
        <w:szCs w:val="16"/>
      </w:rPr>
      <w:t>Colegrove</w:t>
    </w:r>
    <w:r w:rsidR="00691F4D" w:rsidRPr="00D5165E">
      <w:rPr>
        <w:rFonts w:ascii="Arial" w:eastAsia="Arial" w:hAnsi="Arial" w:cs="Arial"/>
        <w:kern w:val="24"/>
        <w:sz w:val="16"/>
        <w:szCs w:val="16"/>
      </w:rPr>
      <w:t xml:space="preserve">  Created</w:t>
    </w:r>
    <w:proofErr w:type="gramEnd"/>
    <w:r w:rsidR="00BF4185">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 xml:space="preserve"> </w:t>
    </w:r>
    <w:r w:rsidR="0050449E">
      <w:rPr>
        <w:rFonts w:ascii="Arial" w:eastAsia="Arial" w:hAnsi="Arial" w:cs="Arial"/>
        <w:kern w:val="24"/>
        <w:sz w:val="16"/>
        <w:szCs w:val="16"/>
      </w:rPr>
      <w:t>9/25/2025</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ntil</w:t>
    </w:r>
    <w:r w:rsidR="0050449E">
      <w:rPr>
        <w:rFonts w:ascii="Arial" w:eastAsia="Arial" w:hAnsi="Arial" w:cs="Arial"/>
        <w:kern w:val="24"/>
        <w:sz w:val="16"/>
        <w:szCs w:val="16"/>
      </w:rPr>
      <w:t>: 11/18/2025</w:t>
    </w:r>
    <w:r w:rsidR="00B84456" w:rsidRPr="00D5165E">
      <w:rPr>
        <w:rFonts w:ascii="Arial" w:eastAsia="Arial" w:hAnsi="Arial" w:cs="Arial"/>
        <w:kern w:val="24"/>
        <w:sz w:val="16"/>
        <w:szCs w:val="16"/>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CDE0" w14:textId="77777777" w:rsidR="000F4334" w:rsidRDefault="000F4334" w:rsidP="00055B10">
      <w:pPr>
        <w:spacing w:after="0" w:line="240" w:lineRule="auto"/>
      </w:pPr>
      <w:r>
        <w:separator/>
      </w:r>
    </w:p>
  </w:footnote>
  <w:footnote w:type="continuationSeparator" w:id="0">
    <w:p w14:paraId="2D05A48B" w14:textId="77777777" w:rsidR="000F4334" w:rsidRDefault="000F4334"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8"/>
  </w:num>
  <w:num w:numId="2" w16cid:durableId="161354219">
    <w:abstractNumId w:val="11"/>
  </w:num>
  <w:num w:numId="3" w16cid:durableId="367529949">
    <w:abstractNumId w:val="17"/>
  </w:num>
  <w:num w:numId="4" w16cid:durableId="2113237724">
    <w:abstractNumId w:val="1"/>
  </w:num>
  <w:num w:numId="5" w16cid:durableId="1420172599">
    <w:abstractNumId w:val="3"/>
  </w:num>
  <w:num w:numId="6" w16cid:durableId="1278486410">
    <w:abstractNumId w:val="6"/>
  </w:num>
  <w:num w:numId="7" w16cid:durableId="1918974587">
    <w:abstractNumId w:val="27"/>
  </w:num>
  <w:num w:numId="8" w16cid:durableId="1066414557">
    <w:abstractNumId w:val="13"/>
  </w:num>
  <w:num w:numId="9" w16cid:durableId="1662925891">
    <w:abstractNumId w:val="22"/>
  </w:num>
  <w:num w:numId="10" w16cid:durableId="678048633">
    <w:abstractNumId w:val="26"/>
  </w:num>
  <w:num w:numId="11" w16cid:durableId="1710643530">
    <w:abstractNumId w:val="16"/>
  </w:num>
  <w:num w:numId="12" w16cid:durableId="1014963863">
    <w:abstractNumId w:val="19"/>
  </w:num>
  <w:num w:numId="13" w16cid:durableId="1855924810">
    <w:abstractNumId w:val="25"/>
  </w:num>
  <w:num w:numId="14" w16cid:durableId="1070882303">
    <w:abstractNumId w:val="23"/>
  </w:num>
  <w:num w:numId="15" w16cid:durableId="1279794217">
    <w:abstractNumId w:val="2"/>
  </w:num>
  <w:num w:numId="16" w16cid:durableId="1450009621">
    <w:abstractNumId w:val="21"/>
  </w:num>
  <w:num w:numId="17" w16cid:durableId="1366834961">
    <w:abstractNumId w:val="24"/>
  </w:num>
  <w:num w:numId="18" w16cid:durableId="1591280853">
    <w:abstractNumId w:val="31"/>
  </w:num>
  <w:num w:numId="19" w16cid:durableId="1209731318">
    <w:abstractNumId w:val="29"/>
  </w:num>
  <w:num w:numId="20" w16cid:durableId="1741556706">
    <w:abstractNumId w:val="4"/>
  </w:num>
  <w:num w:numId="21" w16cid:durableId="1032803811">
    <w:abstractNumId w:val="14"/>
  </w:num>
  <w:num w:numId="22" w16cid:durableId="2062900194">
    <w:abstractNumId w:val="10"/>
  </w:num>
  <w:num w:numId="23" w16cid:durableId="1507281094">
    <w:abstractNumId w:val="5"/>
  </w:num>
  <w:num w:numId="24" w16cid:durableId="1392657342">
    <w:abstractNumId w:val="30"/>
  </w:num>
  <w:num w:numId="25" w16cid:durableId="1797025421">
    <w:abstractNumId w:val="8"/>
  </w:num>
  <w:num w:numId="26" w16cid:durableId="333345465">
    <w:abstractNumId w:val="28"/>
  </w:num>
  <w:num w:numId="27" w16cid:durableId="1804930468">
    <w:abstractNumId w:val="0"/>
  </w:num>
  <w:num w:numId="28" w16cid:durableId="1922979966">
    <w:abstractNumId w:val="15"/>
  </w:num>
  <w:num w:numId="29" w16cid:durableId="279337811">
    <w:abstractNumId w:val="9"/>
  </w:num>
  <w:num w:numId="30" w16cid:durableId="2000035843">
    <w:abstractNumId w:val="20"/>
  </w:num>
  <w:num w:numId="31" w16cid:durableId="568999410">
    <w:abstractNumId w:val="12"/>
  </w:num>
  <w:num w:numId="32" w16cid:durableId="215509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4334"/>
    <w:rsid w:val="000F7CD3"/>
    <w:rsid w:val="00123722"/>
    <w:rsid w:val="001474D0"/>
    <w:rsid w:val="00164A94"/>
    <w:rsid w:val="00167ED2"/>
    <w:rsid w:val="00175EBB"/>
    <w:rsid w:val="001774E7"/>
    <w:rsid w:val="0018421C"/>
    <w:rsid w:val="0018486C"/>
    <w:rsid w:val="001A0DC5"/>
    <w:rsid w:val="001D5D69"/>
    <w:rsid w:val="00204974"/>
    <w:rsid w:val="00221947"/>
    <w:rsid w:val="00224AB6"/>
    <w:rsid w:val="00236B9A"/>
    <w:rsid w:val="00252416"/>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C7395"/>
    <w:rsid w:val="004D0FF0"/>
    <w:rsid w:val="004E1183"/>
    <w:rsid w:val="0050083B"/>
    <w:rsid w:val="0050449E"/>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0193"/>
    <w:rsid w:val="006F2CB3"/>
    <w:rsid w:val="006F75ED"/>
    <w:rsid w:val="00703E29"/>
    <w:rsid w:val="007346C8"/>
    <w:rsid w:val="00743969"/>
    <w:rsid w:val="0077571D"/>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30D8"/>
    <w:rsid w:val="0087352F"/>
    <w:rsid w:val="00874037"/>
    <w:rsid w:val="008832A2"/>
    <w:rsid w:val="008911DB"/>
    <w:rsid w:val="008A2311"/>
    <w:rsid w:val="008B49B6"/>
    <w:rsid w:val="008B5743"/>
    <w:rsid w:val="008D004F"/>
    <w:rsid w:val="009005E8"/>
    <w:rsid w:val="00900B72"/>
    <w:rsid w:val="00914EB6"/>
    <w:rsid w:val="00944023"/>
    <w:rsid w:val="00955A2A"/>
    <w:rsid w:val="00964945"/>
    <w:rsid w:val="009C0BC6"/>
    <w:rsid w:val="009D65D9"/>
    <w:rsid w:val="009E10D1"/>
    <w:rsid w:val="009F008B"/>
    <w:rsid w:val="009F2459"/>
    <w:rsid w:val="009F694F"/>
    <w:rsid w:val="00A12DA0"/>
    <w:rsid w:val="00A241B1"/>
    <w:rsid w:val="00A26E52"/>
    <w:rsid w:val="00A47804"/>
    <w:rsid w:val="00A610E7"/>
    <w:rsid w:val="00A76075"/>
    <w:rsid w:val="00A771A6"/>
    <w:rsid w:val="00AB1AF9"/>
    <w:rsid w:val="00AE337A"/>
    <w:rsid w:val="00AE4CAD"/>
    <w:rsid w:val="00AF7D9A"/>
    <w:rsid w:val="00B03201"/>
    <w:rsid w:val="00B03F7B"/>
    <w:rsid w:val="00B2291F"/>
    <w:rsid w:val="00B45C82"/>
    <w:rsid w:val="00B4607E"/>
    <w:rsid w:val="00B50CE9"/>
    <w:rsid w:val="00B5431E"/>
    <w:rsid w:val="00B621ED"/>
    <w:rsid w:val="00B70108"/>
    <w:rsid w:val="00B75520"/>
    <w:rsid w:val="00B81ACD"/>
    <w:rsid w:val="00B83945"/>
    <w:rsid w:val="00B84456"/>
    <w:rsid w:val="00B97676"/>
    <w:rsid w:val="00B97706"/>
    <w:rsid w:val="00BB31ED"/>
    <w:rsid w:val="00BB63B9"/>
    <w:rsid w:val="00BD5170"/>
    <w:rsid w:val="00BE23DE"/>
    <w:rsid w:val="00BF2660"/>
    <w:rsid w:val="00BF4185"/>
    <w:rsid w:val="00BF70CD"/>
    <w:rsid w:val="00C05E8F"/>
    <w:rsid w:val="00C1436E"/>
    <w:rsid w:val="00C25711"/>
    <w:rsid w:val="00C41379"/>
    <w:rsid w:val="00C43F1B"/>
    <w:rsid w:val="00C45F68"/>
    <w:rsid w:val="00C5432F"/>
    <w:rsid w:val="00C706A4"/>
    <w:rsid w:val="00C87FDC"/>
    <w:rsid w:val="00C945C2"/>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6F1"/>
    <w:rsid w:val="00E131F5"/>
    <w:rsid w:val="00E21209"/>
    <w:rsid w:val="00E2152E"/>
    <w:rsid w:val="00E24ABE"/>
    <w:rsid w:val="00E45F59"/>
    <w:rsid w:val="00E5477E"/>
    <w:rsid w:val="00E563E6"/>
    <w:rsid w:val="00E70BD7"/>
    <w:rsid w:val="00E74B71"/>
    <w:rsid w:val="00E74FC8"/>
    <w:rsid w:val="00E81A15"/>
    <w:rsid w:val="00E842EB"/>
    <w:rsid w:val="00E965A0"/>
    <w:rsid w:val="00EA0C61"/>
    <w:rsid w:val="00EA679F"/>
    <w:rsid w:val="00EA7AE4"/>
    <w:rsid w:val="00EB63F4"/>
    <w:rsid w:val="00EC18D4"/>
    <w:rsid w:val="00EE05F1"/>
    <w:rsid w:val="00EE4ECF"/>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BCCE8-EB63-4D63-A097-CD5BDD87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2</cp:revision>
  <dcterms:created xsi:type="dcterms:W3CDTF">2025-09-25T21:53:00Z</dcterms:created>
  <dcterms:modified xsi:type="dcterms:W3CDTF">2025-09-25T21:53:00Z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