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3E8022EA">
                <wp:simplePos x="0" y="0"/>
                <wp:positionH relativeFrom="margin">
                  <wp:align>right</wp:align>
                </wp:positionH>
                <wp:positionV relativeFrom="paragraph">
                  <wp:posOffset>295275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553449" w:rsidR="0080544B" w:rsidP="008339B0" w:rsidRDefault="008339B0" w14:paraId="4C2459E0" w14:textId="7FA6CF52">
                            <w:pPr>
                              <w:spacing w:after="0" w:line="240" w:lineRule="auto"/>
                              <w:ind w:left="720" w:hanging="720"/>
                              <w:jc w:val="center"/>
                              <w:rPr>
                                <w:rFonts w:eastAsia="Verdana" w:cstheme="minorHAnsi"/>
                                <w:color w:val="FFFFFF" w:themeColor="background1"/>
                                <w:sz w:val="36"/>
                                <w:szCs w:val="36"/>
                                <w:lang w:bidi="en-US"/>
                              </w:rPr>
                            </w:pPr>
                            <w:bookmarkStart w:name="_Hlk129337215" w:id="0"/>
                            <w:r w:rsidRPr="008339B0">
                              <w:rPr>
                                <w:rFonts w:eastAsia="Verdana" w:cstheme="minorHAnsi"/>
                                <w:sz w:val="36"/>
                                <w:szCs w:val="36"/>
                                <w:lang w:bidi="en-US"/>
                              </w:rPr>
                              <w:t xml:space="preserve">Contrast Agents in </w:t>
                            </w:r>
                            <w:r w:rsidRPr="00553449">
                              <w:rPr>
                                <w:rFonts w:eastAsia="Verdana" w:cstheme="minorHAnsi"/>
                                <w:color w:val="FFFFFF" w:themeColor="background1"/>
                                <w:sz w:val="36"/>
                                <w:szCs w:val="36"/>
                                <w:lang w:bidi="en-US"/>
                              </w:rPr>
                              <w:t>Clinical Practice: Risks, Benefits, and Best Practices</w:t>
                            </w:r>
                          </w:p>
                          <w:p w:rsidRPr="00553449" w:rsidR="00553449" w:rsidP="00553449" w:rsidRDefault="00553449" w14:paraId="474ACADC" w14:textId="6671DDA6">
                            <w:pPr>
                              <w:spacing w:after="0" w:line="240" w:lineRule="auto"/>
                              <w:jc w:val="center"/>
                              <w:rPr>
                                <w:color w:val="FFFFFF" w:themeColor="background1"/>
                                <w:sz w:val="24"/>
                                <w:szCs w:val="24"/>
                              </w:rPr>
                            </w:pPr>
                            <w:hyperlink w:history="1" w:anchor="group-tabs-node-course-default2" r:id="rId11">
                              <w:r w:rsidRPr="00553449">
                                <w:rPr>
                                  <w:rStyle w:val="Hyperlink"/>
                                  <w:rFonts w:ascii="Verdana" w:hAnsi="Verdana"/>
                                  <w:b/>
                                  <w:bCs/>
                                  <w:color w:val="FFFFFF" w:themeColor="background1"/>
                                  <w:sz w:val="18"/>
                                  <w:szCs w:val="18"/>
                                </w:rPr>
                                <w:t>Pharmacy Grand Rounds Recorded Sessions</w:t>
                              </w:r>
                            </w:hyperlink>
                          </w:p>
                          <w:p w:rsidR="008160DB" w:rsidP="00553449" w:rsidRDefault="00011040" w14:paraId="127390E2" w14:textId="29FC18A9">
                            <w:pPr>
                              <w:spacing w:after="0" w:line="240" w:lineRule="auto"/>
                              <w:ind w:left="720" w:hanging="720"/>
                              <w:jc w:val="center"/>
                              <w:rPr>
                                <w:sz w:val="24"/>
                                <w:szCs w:val="24"/>
                              </w:rPr>
                            </w:pPr>
                            <w:r>
                              <w:rPr>
                                <w:sz w:val="24"/>
                                <w:szCs w:val="24"/>
                              </w:rPr>
                              <w:t>Recorded Session on the Advocate Health CE Platform</w:t>
                            </w:r>
                          </w:p>
                          <w:p w:rsidRPr="00565174" w:rsidR="00011040" w:rsidP="005F3CDB" w:rsidRDefault="00011040" w14:paraId="4C8B46FA" w14:textId="7921C553">
                            <w:pPr>
                              <w:spacing w:after="0" w:line="240" w:lineRule="auto"/>
                              <w:ind w:left="720" w:hanging="720"/>
                              <w:jc w:val="center"/>
                              <w:rPr>
                                <w:sz w:val="24"/>
                                <w:szCs w:val="24"/>
                              </w:rPr>
                            </w:pPr>
                            <w:r>
                              <w:rPr>
                                <w:sz w:val="24"/>
                                <w:szCs w:val="24"/>
                              </w:rPr>
                              <w:t>From 4/16/2026-4/16/2027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23.2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">
                <v:textbox>
                  <w:txbxContent>
                    <w:p w:rsidRPr="00553449" w:rsidR="0080544B" w:rsidP="008339B0" w:rsidRDefault="008339B0" w14:paraId="4C2459E0" w14:textId="7FA6CF52">
                      <w:pPr>
                        <w:spacing w:after="0" w:line="240" w:lineRule="auto"/>
                        <w:ind w:left="720" w:hanging="720"/>
                        <w:jc w:val="center"/>
                        <w:rPr>
                          <w:rFonts w:eastAsia="Verdana" w:cstheme="minorHAnsi"/>
                          <w:color w:val="FFFFFF" w:themeColor="background1"/>
                          <w:sz w:val="36"/>
                          <w:szCs w:val="36"/>
                          <w:lang w:bidi="en-US"/>
                        </w:rPr>
                      </w:pPr>
                      <w:r w:rsidRPr="008339B0">
                        <w:rPr>
                          <w:rFonts w:eastAsia="Verdana" w:cstheme="minorHAnsi"/>
                          <w:sz w:val="36"/>
                          <w:szCs w:val="36"/>
                          <w:lang w:bidi="en-US"/>
                        </w:rPr>
                        <w:t xml:space="preserve">Contrast Agents in </w:t>
                      </w:r>
                      <w:r w:rsidRPr="00553449">
                        <w:rPr>
                          <w:rFonts w:eastAsia="Verdana" w:cstheme="minorHAnsi"/>
                          <w:color w:val="FFFFFF" w:themeColor="background1"/>
                          <w:sz w:val="36"/>
                          <w:szCs w:val="36"/>
                          <w:lang w:bidi="en-US"/>
                        </w:rPr>
                        <w:t>Clinical Practice: Risks, Benefits, and Best Practices</w:t>
                      </w:r>
                    </w:p>
                    <w:p w:rsidRPr="00553449" w:rsidR="00553449" w:rsidP="00553449" w:rsidRDefault="00553449" w14:paraId="474ACADC" w14:textId="6671DDA6">
                      <w:pPr>
                        <w:spacing w:after="0" w:line="240" w:lineRule="auto"/>
                        <w:jc w:val="center"/>
                        <w:rPr>
                          <w:color w:val="FFFFFF" w:themeColor="background1"/>
                          <w:sz w:val="24"/>
                          <w:szCs w:val="24"/>
                        </w:rPr>
                      </w:pPr>
                      <w:hyperlink w:history="1" w:anchor="group-tabs-node-course-default2" r:id="rId12">
                        <w:r w:rsidRPr="00553449">
                          <w:rPr>
                            <w:rStyle w:val="Hyperlink"/>
                            <w:rFonts w:ascii="Verdana" w:hAnsi="Verdana"/>
                            <w:b/>
                            <w:bCs/>
                            <w:color w:val="FFFFFF" w:themeColor="background1"/>
                            <w:sz w:val="18"/>
                            <w:szCs w:val="18"/>
                          </w:rPr>
                          <w:t>Pharmacy Grand Rounds Recorded Sessions</w:t>
                        </w:r>
                      </w:hyperlink>
                    </w:p>
                    <w:p w:rsidR="008160DB" w:rsidP="00553449" w:rsidRDefault="00011040" w14:paraId="127390E2" w14:textId="29FC18A9">
                      <w:pPr>
                        <w:spacing w:after="0" w:line="240" w:lineRule="auto"/>
                        <w:ind w:left="720" w:hanging="720"/>
                        <w:jc w:val="center"/>
                        <w:rPr>
                          <w:sz w:val="24"/>
                          <w:szCs w:val="24"/>
                        </w:rPr>
                      </w:pPr>
                      <w:r>
                        <w:rPr>
                          <w:sz w:val="24"/>
                          <w:szCs w:val="24"/>
                        </w:rPr>
                        <w:t>Recorded Session on the Advocate Health CE Platform</w:t>
                      </w:r>
                    </w:p>
                    <w:p w:rsidRPr="00565174" w:rsidR="00011040" w:rsidP="005F3CDB" w:rsidRDefault="00011040" w14:paraId="4C8B46FA" w14:textId="7921C553">
                      <w:pPr>
                        <w:spacing w:after="0" w:line="240" w:lineRule="auto"/>
                        <w:ind w:left="720" w:hanging="720"/>
                        <w:jc w:val="center"/>
                        <w:rPr>
                          <w:sz w:val="24"/>
                          <w:szCs w:val="24"/>
                        </w:rPr>
                      </w:pPr>
                      <w:r>
                        <w:rPr>
                          <w:sz w:val="24"/>
                          <w:szCs w:val="24"/>
                        </w:rPr>
                        <w:t>From 4/16/2026-4/16/2027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Pr="004A3628" w:rsidR="0065650A" w:rsidP="00EB63F4" w:rsidRDefault="00F65EA8" w14:paraId="444F96E4" w14:textId="76909DCF">
      <w:pPr>
        <w:pStyle w:val="BodyText"/>
        <w:spacing w:before="2" w:line="249" w:lineRule="auto"/>
        <w:ind w:right="216"/>
        <w:rPr>
          <w:sz w:val="18"/>
          <w:szCs w:val="18"/>
        </w:rPr>
      </w:pPr>
      <w:r w:rsidRPr="004A3628">
        <w:rPr>
          <w:b/>
          <w:bCs/>
          <w:sz w:val="18"/>
          <w:szCs w:val="18"/>
        </w:rPr>
        <w:t xml:space="preserve">Overview: </w:t>
      </w:r>
      <w:r w:rsidRPr="004A3628" w:rsidR="001214FA">
        <w:rPr>
          <w:sz w:val="18"/>
          <w:szCs w:val="18"/>
        </w:rPr>
        <w:t>Contrast agents remain a complex area with pharmacy practice, with many clinicians seeking greater clarity on their appropriate use. This presentation will provide pharmacists and other healthcare professionals with an overview of contrast agent indications, renal considerations, allergy precautions, and recommended pre-medication strategies. It will also review specific medication administration surrounding the use of contrast agents.</w:t>
      </w:r>
    </w:p>
    <w:p w:rsidRPr="004A3628" w:rsidR="00D354ED" w:rsidP="00EB63F4" w:rsidRDefault="00D354ED" w14:paraId="5D6078F1" w14:textId="77777777">
      <w:pPr>
        <w:pStyle w:val="BodyText"/>
        <w:spacing w:before="2" w:line="249" w:lineRule="auto"/>
        <w:ind w:right="216"/>
        <w:rPr>
          <w:sz w:val="18"/>
          <w:szCs w:val="18"/>
        </w:rPr>
      </w:pPr>
    </w:p>
    <w:p w:rsidRPr="004A3628" w:rsidR="006955B2" w:rsidP="006955B2" w:rsidRDefault="00F65EA8" w14:paraId="584E9E20" w14:textId="755F26C9">
      <w:pPr>
        <w:pStyle w:val="BodyText"/>
        <w:spacing w:line="227" w:lineRule="exact"/>
        <w:rPr>
          <w:b/>
          <w:bCs/>
          <w:sz w:val="18"/>
          <w:szCs w:val="18"/>
        </w:rPr>
      </w:pPr>
      <w:r w:rsidRPr="004A3628">
        <w:rPr>
          <w:b/>
          <w:bCs/>
          <w:sz w:val="18"/>
          <w:szCs w:val="18"/>
        </w:rPr>
        <w:t>Speaker</w:t>
      </w:r>
      <w:r w:rsidRPr="004A3628" w:rsidR="001214FA">
        <w:rPr>
          <w:b/>
          <w:bCs/>
          <w:sz w:val="18"/>
          <w:szCs w:val="18"/>
        </w:rPr>
        <w:t>s</w:t>
      </w:r>
      <w:r w:rsidRPr="004A3628">
        <w:rPr>
          <w:b/>
          <w:bCs/>
          <w:sz w:val="18"/>
          <w:szCs w:val="18"/>
        </w:rPr>
        <w:t>: </w:t>
      </w:r>
      <w:r w:rsidRPr="004A3628" w:rsidR="00613E80">
        <w:rPr>
          <w:sz w:val="18"/>
          <w:szCs w:val="18"/>
        </w:rPr>
        <w:t xml:space="preserve">Andrew Iverson, PharmD, and </w:t>
      </w:r>
      <w:r w:rsidRPr="004A3628" w:rsidR="00ED024A">
        <w:rPr>
          <w:sz w:val="18"/>
          <w:szCs w:val="18"/>
        </w:rPr>
        <w:t xml:space="preserve">Maleena Moretti, PharmD; </w:t>
      </w:r>
      <w:r w:rsidRPr="004A3628" w:rsidR="00613E80">
        <w:rPr>
          <w:sz w:val="18"/>
          <w:szCs w:val="18"/>
        </w:rPr>
        <w:t>PGY1 Pharmacy Resident</w:t>
      </w:r>
      <w:r w:rsidRPr="004A3628" w:rsidR="00ED024A">
        <w:rPr>
          <w:sz w:val="18"/>
          <w:szCs w:val="18"/>
        </w:rPr>
        <w:t>s</w:t>
      </w:r>
      <w:r w:rsidRPr="004A3628" w:rsidR="00613E80">
        <w:rPr>
          <w:sz w:val="18"/>
          <w:szCs w:val="18"/>
        </w:rPr>
        <w:t xml:space="preserve"> – Aurora Health Care Metro, Inc</w:t>
      </w:r>
    </w:p>
    <w:p w:rsidRPr="004A3628" w:rsidR="00322A54" w:rsidP="00322A54" w:rsidRDefault="00322A54" w14:paraId="2F1FB2F7" w14:textId="5B151714">
      <w:pPr>
        <w:pStyle w:val="BodyText"/>
        <w:spacing w:line="227" w:lineRule="exact"/>
        <w:rPr>
          <w:b/>
          <w:bCs/>
          <w:sz w:val="18"/>
          <w:szCs w:val="18"/>
        </w:rPr>
      </w:pPr>
    </w:p>
    <w:p w:rsidRPr="004A3628" w:rsidR="00473563" w:rsidP="00473563" w:rsidRDefault="00B45C82" w14:paraId="1E089EE7" w14:textId="3D147F6C">
      <w:pPr>
        <w:rPr>
          <w:rFonts w:ascii="Verdana" w:hAnsi="Verdana"/>
          <w:sz w:val="18"/>
          <w:szCs w:val="18"/>
        </w:rPr>
      </w:pPr>
      <w:r w:rsidRPr="004A3628">
        <w:rPr>
          <w:rFonts w:ascii="Verdana" w:hAnsi="Verdana"/>
          <w:b/>
          <w:bCs/>
          <w:sz w:val="18"/>
          <w:szCs w:val="18"/>
        </w:rPr>
        <w:t>Preceptor</w:t>
      </w:r>
      <w:r w:rsidR="004A0587">
        <w:rPr>
          <w:rFonts w:ascii="Verdana" w:hAnsi="Verdana"/>
          <w:b/>
          <w:bCs/>
          <w:sz w:val="18"/>
          <w:szCs w:val="18"/>
        </w:rPr>
        <w:t>s</w:t>
      </w:r>
      <w:r w:rsidRPr="004A3628">
        <w:rPr>
          <w:rFonts w:ascii="Verdana" w:hAnsi="Verdana"/>
          <w:b/>
          <w:bCs/>
          <w:sz w:val="18"/>
          <w:szCs w:val="18"/>
        </w:rPr>
        <w:t>:</w:t>
      </w:r>
      <w:r w:rsidRPr="004A3628" w:rsidR="00DF46F1">
        <w:rPr>
          <w:rFonts w:ascii="Verdana" w:hAnsi="Verdana"/>
          <w:b/>
          <w:bCs/>
          <w:sz w:val="18"/>
          <w:szCs w:val="18"/>
        </w:rPr>
        <w:t xml:space="preserve"> </w:t>
      </w:r>
      <w:r w:rsidRPr="004A3628" w:rsidR="006E2C28">
        <w:rPr>
          <w:rFonts w:ascii="Verdana" w:hAnsi="Verdana"/>
          <w:sz w:val="18"/>
          <w:szCs w:val="18"/>
        </w:rPr>
        <w:t xml:space="preserve">David Galis, RPh, BCPS; </w:t>
      </w:r>
      <w:r w:rsidRPr="004A3628" w:rsidR="00473563">
        <w:rPr>
          <w:rFonts w:ascii="Verdana" w:hAnsi="Verdana"/>
          <w:sz w:val="18"/>
          <w:szCs w:val="18"/>
        </w:rPr>
        <w:t xml:space="preserve">Mike Gillard, PharmD, BCPS, FPSW </w:t>
      </w:r>
    </w:p>
    <w:p w:rsidRPr="004A3628" w:rsidR="00F65EA8" w:rsidP="00473563" w:rsidRDefault="00F65EA8" w14:paraId="055EF5BB" w14:textId="4E473D54">
      <w:pPr>
        <w:rPr>
          <w:rFonts w:ascii="Verdana" w:hAnsi="Verdana"/>
          <w:b/>
          <w:bCs/>
          <w:sz w:val="18"/>
          <w:szCs w:val="18"/>
        </w:rPr>
      </w:pPr>
      <w:r w:rsidRPr="004A3628">
        <w:rPr>
          <w:rFonts w:ascii="Verdana" w:hAnsi="Verdana"/>
          <w:b/>
          <w:bCs/>
          <w:sz w:val="18"/>
          <w:szCs w:val="18"/>
        </w:rPr>
        <w:t xml:space="preserve">Objectives: </w:t>
      </w:r>
      <w:r w:rsidRPr="004A3628">
        <w:rPr>
          <w:rFonts w:ascii="Arial" w:hAnsi="Arial" w:cs="Arial"/>
          <w:b/>
          <w:bCs/>
          <w:sz w:val="18"/>
          <w:szCs w:val="18"/>
        </w:rPr>
        <w:t>​​</w:t>
      </w:r>
    </w:p>
    <w:p w:rsidRPr="008D33D5" w:rsidR="008D33D5" w:rsidP="008D33D5" w:rsidRDefault="008D33D5" w14:paraId="2343757A" w14:textId="77777777">
      <w:pPr>
        <w:numPr>
          <w:ilvl w:val="0"/>
          <w:numId w:val="37"/>
        </w:numPr>
        <w:spacing w:line="240" w:lineRule="auto"/>
        <w:rPr>
          <w:rFonts w:ascii="Verdana" w:hAnsi="Verdana"/>
          <w:sz w:val="18"/>
          <w:szCs w:val="18"/>
        </w:rPr>
      </w:pPr>
      <w:r w:rsidRPr="008D33D5">
        <w:rPr>
          <w:rFonts w:ascii="Verdana" w:hAnsi="Verdana"/>
          <w:sz w:val="18"/>
          <w:szCs w:val="18"/>
        </w:rPr>
        <w:t>Recall the pharmacologic properties, indications, and differences between contrast agents</w:t>
      </w:r>
    </w:p>
    <w:p w:rsidRPr="008D33D5" w:rsidR="008D33D5" w:rsidP="008D33D5" w:rsidRDefault="008D33D5" w14:paraId="6DFE876F" w14:textId="77777777">
      <w:pPr>
        <w:numPr>
          <w:ilvl w:val="0"/>
          <w:numId w:val="37"/>
        </w:numPr>
        <w:spacing w:line="240" w:lineRule="auto"/>
        <w:rPr>
          <w:rFonts w:ascii="Verdana" w:hAnsi="Verdana"/>
          <w:sz w:val="18"/>
          <w:szCs w:val="18"/>
        </w:rPr>
      </w:pPr>
      <w:r w:rsidRPr="008D33D5">
        <w:rPr>
          <w:rFonts w:ascii="Verdana" w:hAnsi="Verdana"/>
          <w:sz w:val="18"/>
          <w:szCs w:val="18"/>
        </w:rPr>
        <w:t>Outline patient-specific factors such as renal function and allergy history that influence safe contrast agent selection</w:t>
      </w:r>
    </w:p>
    <w:p w:rsidRPr="008D33D5" w:rsidR="004A3628" w:rsidP="008D33D5" w:rsidRDefault="008D33D5" w14:paraId="19EDDF44" w14:textId="22A50E42">
      <w:pPr>
        <w:pStyle w:val="ListParagraph"/>
        <w:numPr>
          <w:ilvl w:val="0"/>
          <w:numId w:val="37"/>
        </w:numPr>
        <w:spacing w:line="240" w:lineRule="auto"/>
        <w:rPr>
          <w:rFonts w:ascii="Verdana" w:hAnsi="Verdana"/>
          <w:b/>
          <w:bCs/>
          <w:sz w:val="18"/>
          <w:szCs w:val="18"/>
        </w:rPr>
      </w:pPr>
      <w:r w:rsidRPr="008D33D5">
        <w:rPr>
          <w:rFonts w:ascii="Verdana" w:hAnsi="Verdana"/>
          <w:sz w:val="18"/>
          <w:szCs w:val="18"/>
        </w:rPr>
        <w:t>Evaluate concomitant medication to determine appropriate management surrounding contrast administration</w:t>
      </w:r>
    </w:p>
    <w:p w:rsidRPr="004A3628" w:rsidR="00F65EA8" w:rsidP="00293830" w:rsidRDefault="00F65EA8" w14:paraId="196CD146" w14:textId="4CBD6C3B">
      <w:pPr>
        <w:spacing w:line="240" w:lineRule="auto"/>
        <w:rPr>
          <w:rFonts w:ascii="Verdana" w:hAnsi="Verdana"/>
          <w:b/>
          <w:bCs/>
          <w:sz w:val="18"/>
          <w:szCs w:val="18"/>
        </w:rPr>
      </w:pPr>
      <w:r w:rsidRPr="004A3628">
        <w:rPr>
          <w:rFonts w:ascii="Verdana" w:hAnsi="Verdana"/>
          <w:b/>
          <w:bCs/>
          <w:sz w:val="18"/>
          <w:szCs w:val="18"/>
        </w:rPr>
        <w:t>Target Audience:</w:t>
      </w:r>
      <w:r w:rsidRPr="004A3628">
        <w:rPr>
          <w:rFonts w:ascii="Arial" w:hAnsi="Arial" w:cs="Arial"/>
          <w:b/>
          <w:bCs/>
          <w:sz w:val="18"/>
          <w:szCs w:val="18"/>
        </w:rPr>
        <w:t>​</w:t>
      </w:r>
      <w:r w:rsidRPr="004A3628">
        <w:rPr>
          <w:rFonts w:ascii="Verdana" w:hAnsi="Verdana"/>
          <w:b/>
          <w:bCs/>
          <w:sz w:val="18"/>
          <w:szCs w:val="18"/>
        </w:rPr>
        <w:t xml:space="preserve"> </w:t>
      </w:r>
      <w:r w:rsidRPr="004A3628">
        <w:rPr>
          <w:rFonts w:ascii="Verdana" w:hAnsi="Verdana"/>
          <w:sz w:val="18"/>
          <w:szCs w:val="18"/>
        </w:rPr>
        <w:t xml:space="preserve">Advocate </w:t>
      </w:r>
      <w:r w:rsidRPr="004A3628" w:rsidR="00D8590F">
        <w:rPr>
          <w:rFonts w:ascii="Verdana" w:hAnsi="Verdana"/>
          <w:sz w:val="18"/>
          <w:szCs w:val="18"/>
        </w:rPr>
        <w:t xml:space="preserve">Health </w:t>
      </w:r>
      <w:r w:rsidRPr="004A3628">
        <w:rPr>
          <w:rFonts w:ascii="Verdana" w:hAnsi="Verdana"/>
          <w:sz w:val="18"/>
          <w:szCs w:val="18"/>
        </w:rPr>
        <w:t>Pharmacists</w:t>
      </w:r>
      <w:r w:rsidRPr="004A3628" w:rsidR="00FB4480">
        <w:rPr>
          <w:rFonts w:ascii="Verdana" w:hAnsi="Verdana"/>
          <w:sz w:val="18"/>
          <w:szCs w:val="18"/>
        </w:rPr>
        <w:t>, Physicians, Nurses, and other interested healthcare professionals</w:t>
      </w:r>
    </w:p>
    <w:p w:rsidRPr="005E324D" w:rsidR="00031461" w:rsidP="000A797A" w:rsidRDefault="00BE1105" w14:paraId="36DA8BD7" w14:textId="7AA00318">
      <w:pPr>
        <w:spacing w:line="240" w:lineRule="auto"/>
        <w:rPr>
          <w:rStyle w:val="Hyperlink"/>
          <w:rFonts w:ascii="Verdana" w:hAnsi="Verdana"/>
          <w:b/>
          <w:bCs/>
          <w:sz w:val="18"/>
          <w:szCs w:val="18"/>
        </w:rPr>
      </w:pPr>
      <w:r w:rsidRPr="004A3628">
        <w:rPr>
          <w:rFonts w:ascii="Verdana" w:hAnsi="Verdana"/>
          <w:b/>
          <w:bCs/>
          <w:sz w:val="18"/>
          <w:szCs w:val="18"/>
        </w:rPr>
        <w:t xml:space="preserve">Link to Pharmacy Grand Rounds </w:t>
      </w:r>
      <w:r w:rsidR="00011040">
        <w:rPr>
          <w:rFonts w:ascii="Verdana" w:hAnsi="Verdana"/>
          <w:b/>
          <w:bCs/>
          <w:sz w:val="18"/>
          <w:szCs w:val="18"/>
        </w:rPr>
        <w:t>Recorded</w:t>
      </w:r>
      <w:r w:rsidRPr="004A3628">
        <w:rPr>
          <w:rFonts w:ascii="Verdana" w:hAnsi="Verdana"/>
          <w:b/>
          <w:bCs/>
          <w:sz w:val="18"/>
          <w:szCs w:val="18"/>
        </w:rPr>
        <w:t xml:space="preserve"> Sessions</w:t>
      </w:r>
      <w:r w:rsidRPr="004A3628" w:rsidR="00031461">
        <w:rPr>
          <w:rFonts w:ascii="Verdana" w:hAnsi="Verdana"/>
          <w:b/>
          <w:bCs/>
          <w:sz w:val="18"/>
          <w:szCs w:val="18"/>
        </w:rPr>
        <w:t>:</w:t>
      </w:r>
      <w:r w:rsidR="005E324D">
        <w:rPr>
          <w:rFonts w:ascii="Verdana" w:hAnsi="Verdana"/>
          <w:b/>
          <w:bCs/>
          <w:sz w:val="18"/>
          <w:szCs w:val="18"/>
        </w:rPr>
        <w:t xml:space="preserve"> </w:t>
      </w:r>
      <w:r w:rsidR="005E324D">
        <w:rPr>
          <w:rFonts w:ascii="Verdana" w:hAnsi="Verdana"/>
          <w:b/>
          <w:bCs/>
          <w:sz w:val="18"/>
          <w:szCs w:val="18"/>
        </w:rPr>
        <w:fldChar w:fldCharType="begin"/>
      </w:r>
      <w:r w:rsidR="005E324D">
        <w:rPr>
          <w:rFonts w:ascii="Verdana" w:hAnsi="Verdana"/>
          <w:b/>
          <w:bCs/>
          <w:sz w:val="18"/>
          <w:szCs w:val="18"/>
        </w:rPr>
        <w:instrText>HYPERLINK "https://ce.advocatehealth.org/content/pharmacy-grand-rounds-recorded-sessions" \l "group-tabs-node-course-default2"</w:instrText>
      </w:r>
      <w:r w:rsidR="005E324D">
        <w:rPr>
          <w:rFonts w:ascii="Verdana" w:hAnsi="Verdana"/>
          <w:b/>
          <w:bCs/>
          <w:sz w:val="18"/>
          <w:szCs w:val="18"/>
        </w:rPr>
      </w:r>
      <w:r w:rsidR="005E324D">
        <w:rPr>
          <w:rFonts w:ascii="Verdana" w:hAnsi="Verdana"/>
          <w:b/>
          <w:bCs/>
          <w:sz w:val="18"/>
          <w:szCs w:val="18"/>
        </w:rPr>
        <w:fldChar w:fldCharType="separate"/>
      </w:r>
      <w:r w:rsidRPr="005E324D" w:rsidR="005E324D">
        <w:rPr>
          <w:rStyle w:val="Hyperlink"/>
          <w:rFonts w:ascii="Verdana" w:hAnsi="Verdana"/>
          <w:b/>
          <w:bCs/>
          <w:sz w:val="18"/>
          <w:szCs w:val="18"/>
        </w:rPr>
        <w:t>Pharmacy Grand Rounds Recorded Sessions</w:t>
      </w:r>
    </w:p>
    <w:p w:rsidRPr="004A3628" w:rsidR="00F65EA8" w:rsidP="000A797A" w:rsidRDefault="005E324D" w14:paraId="7EA526BE" w14:textId="51A5AAD8">
      <w:pPr>
        <w:spacing w:line="240" w:lineRule="auto"/>
        <w:rPr>
          <w:rFonts w:ascii="Verdana" w:hAnsi="Verdana"/>
          <w:b/>
          <w:bCs/>
          <w:sz w:val="18"/>
          <w:szCs w:val="18"/>
        </w:rPr>
      </w:pPr>
      <w:r>
        <w:rPr>
          <w:rFonts w:ascii="Verdana" w:hAnsi="Verdana"/>
          <w:b/>
          <w:bCs/>
          <w:sz w:val="18"/>
          <w:szCs w:val="18"/>
        </w:rPr>
        <w:fldChar w:fldCharType="end"/>
      </w:r>
      <w:r w:rsidRPr="004A3628" w:rsidR="00F65EA8">
        <w:rPr>
          <w:rFonts w:ascii="Verdana" w:hAnsi="Verdana"/>
          <w:b/>
          <w:bCs/>
          <w:sz w:val="18"/>
          <w:szCs w:val="18"/>
        </w:rPr>
        <w:t>Disclosure:</w:t>
      </w:r>
      <w:r w:rsidRPr="004A3628" w:rsidR="00F65EA8">
        <w:rPr>
          <w:rFonts w:ascii="Arial" w:hAnsi="Arial" w:cs="Arial"/>
          <w:b/>
          <w:bCs/>
          <w:sz w:val="18"/>
          <w:szCs w:val="18"/>
        </w:rPr>
        <w:t>​</w:t>
      </w:r>
      <w:r w:rsidRPr="004A3628" w:rsidR="00F65EA8">
        <w:rPr>
          <w:rFonts w:ascii="Verdana" w:hAnsi="Verdana"/>
          <w:b/>
          <w:bCs/>
          <w:sz w:val="18"/>
          <w:szCs w:val="18"/>
        </w:rPr>
        <w:t xml:space="preserve"> </w:t>
      </w:r>
      <w:r w:rsidRPr="004A3628" w:rsidR="00F65EA8">
        <w:rPr>
          <w:rFonts w:ascii="Verdana" w:hAnsi="Verdana"/>
          <w:sz w:val="18"/>
          <w:szCs w:val="18"/>
        </w:rPr>
        <w:t>The planner(s) and speaker(s) have indicated that there are no relevant financial relationships with any ineligible companies to disclose.</w:t>
      </w:r>
      <w:r w:rsidRPr="004A3628" w:rsidR="00F65EA8">
        <w:rPr>
          <w:rFonts w:ascii="Verdana" w:hAnsi="Verdana"/>
          <w:b/>
          <w:bCs/>
          <w:sz w:val="18"/>
          <w:szCs w:val="18"/>
        </w:rPr>
        <w:t> </w:t>
      </w:r>
    </w:p>
    <w:p w:rsidRPr="004A3628" w:rsidR="00900B72" w:rsidP="00F65EA8" w:rsidRDefault="00F65EA8" w14:paraId="23C08749" w14:textId="5237E445">
      <w:pPr>
        <w:spacing w:line="240" w:lineRule="auto"/>
        <w:rPr>
          <w:rFonts w:ascii="Verdana" w:hAnsi="Verdana"/>
          <w:sz w:val="18"/>
          <w:szCs w:val="18"/>
        </w:rPr>
      </w:pPr>
      <w:r w:rsidRPr="004A3628">
        <w:rPr>
          <w:rFonts w:ascii="Verdana" w:hAnsi="Verdana"/>
          <w:b/>
          <w:bCs/>
          <w:sz w:val="18"/>
          <w:szCs w:val="18"/>
        </w:rPr>
        <w:t xml:space="preserve">Commercial Support: </w:t>
      </w:r>
      <w:r w:rsidRPr="004A3628">
        <w:rPr>
          <w:rFonts w:ascii="Verdana" w:hAnsi="Verdana"/>
          <w:sz w:val="18"/>
          <w:szCs w:val="18"/>
        </w:rPr>
        <w:t>There is no financial support for th</w:t>
      </w:r>
      <w:r w:rsidRPr="004A3628" w:rsidR="00D8590F">
        <w:rPr>
          <w:rFonts w:ascii="Verdana" w:hAnsi="Verdana"/>
          <w:sz w:val="18"/>
          <w:szCs w:val="18"/>
        </w:rPr>
        <w:t>is</w:t>
      </w:r>
      <w:r w:rsidRPr="004A3628">
        <w:rPr>
          <w:rFonts w:ascii="Verdana" w:hAnsi="Verdana"/>
          <w:sz w:val="18"/>
          <w:szCs w:val="18"/>
        </w:rPr>
        <w:t xml:space="preserve"> activit</w:t>
      </w:r>
      <w:r w:rsidRPr="004A3628" w:rsidR="00D8590F">
        <w:rPr>
          <w:rFonts w:ascii="Verdana" w:hAnsi="Verdana"/>
          <w:sz w:val="18"/>
          <w:szCs w:val="18"/>
        </w:rPr>
        <w:t>y</w:t>
      </w:r>
      <w:r w:rsidRPr="004A3628">
        <w:rPr>
          <w:rFonts w:ascii="Verdana" w:hAnsi="Verdana"/>
          <w:sz w:val="18"/>
          <w:szCs w:val="18"/>
        </w:rPr>
        <w:t>.</w:t>
      </w:r>
    </w:p>
    <w:p w:rsidRPr="004A362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4A3628">
        <w:rPr>
          <w:rStyle w:val="normaltextrun"/>
          <w:rFonts w:ascii="Verdana" w:hAnsi="Verdana" w:cstheme="minorHAnsi"/>
          <w:b/>
          <w:bCs/>
          <w:position w:val="-1"/>
          <w:sz w:val="18"/>
          <w:szCs w:val="18"/>
        </w:rPr>
        <w:t>Accreditation Statement</w:t>
      </w:r>
      <w:r w:rsidRPr="004A3628">
        <w:rPr>
          <w:rStyle w:val="eop"/>
          <w:rFonts w:ascii="Verdana" w:hAnsi="Verdana" w:cstheme="minorHAnsi"/>
          <w:sz w:val="18"/>
          <w:szCs w:val="18"/>
        </w:rPr>
        <w:t>:</w:t>
      </w:r>
    </w:p>
    <w:p w:rsidRPr="004A3628"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4A3628" w:rsidR="000847D8" w:rsidTr="47A55E8E" w14:paraId="2B1D1D73" w14:textId="77777777">
        <w:tc>
          <w:tcPr>
            <w:tcW w:w="1838" w:type="dxa"/>
          </w:tcPr>
          <w:p w:rsidRPr="004A3628" w:rsidR="00E842EB" w:rsidP="000847D8" w:rsidRDefault="00E842EB" w14:paraId="2F8FB65E" w14:textId="64B1CEDD">
            <w:pPr>
              <w:textAlignment w:val="baseline"/>
              <w:rPr>
                <w:rFonts w:ascii="Verdana" w:hAnsi="Verdana" w:eastAsia="Times New Roman" w:cs="Univers 45 Light"/>
                <w:b/>
                <w:bCs/>
                <w:kern w:val="24"/>
                <w:sz w:val="18"/>
                <w:szCs w:val="18"/>
              </w:rPr>
            </w:pPr>
            <w:r w:rsidRPr="004A3628">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4A3628" w:rsidR="00E842EB" w:rsidP="000847D8" w:rsidRDefault="00E842EB" w14:paraId="3753F650" w14:textId="6185D4D5">
            <w:pPr>
              <w:textAlignment w:val="baseline"/>
              <w:rPr>
                <w:rFonts w:ascii="Verdana" w:hAnsi="Verdana" w:eastAsia="Times New Roman" w:cs="Univers 45 Light"/>
                <w:b/>
                <w:bCs/>
                <w:kern w:val="24"/>
                <w:sz w:val="18"/>
                <w:szCs w:val="18"/>
              </w:rPr>
            </w:pPr>
            <w:r w:rsidRPr="004A3628">
              <w:rPr>
                <w:rFonts w:ascii="Verdana" w:hAnsi="Verdana" w:eastAsia="Times New Roman" w:cs="Univers 45 Light"/>
                <w:kern w:val="24"/>
                <w:sz w:val="18"/>
                <w:szCs w:val="18"/>
              </w:rPr>
              <w:t>In</w:t>
            </w:r>
            <w:r w:rsidRPr="004A3628">
              <w:rPr>
                <w:rFonts w:ascii="Verdana" w:hAnsi="Verdana" w:eastAsia="Times New Roman" w:cs="Univers 45 Light"/>
                <w:b/>
                <w:bCs/>
                <w:kern w:val="24"/>
                <w:sz w:val="18"/>
                <w:szCs w:val="18"/>
              </w:rPr>
              <w:t xml:space="preserve"> </w:t>
            </w:r>
            <w:r w:rsidRPr="004A3628">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4A3628"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4A3628" w:rsidR="00F65EA8" w:rsidP="000A797A" w:rsidRDefault="0087352F" w14:paraId="64D47D5F" w14:textId="56817C76">
      <w:pPr>
        <w:spacing w:line="240" w:lineRule="auto"/>
        <w:ind w:left="255"/>
        <w:textAlignment w:val="baseline"/>
        <w:rPr>
          <w:rFonts w:eastAsia="Times New Roman" w:cs="Segoe UI"/>
          <w:sz w:val="18"/>
          <w:szCs w:val="18"/>
        </w:rPr>
      </w:pPr>
      <w:r w:rsidRPr="004A3628">
        <w:rPr>
          <w:rFonts w:ascii="Verdana" w:hAnsi="Verdana" w:eastAsia="Times New Roman" w:cs="Segoe UI"/>
          <w:b/>
          <w:bCs/>
          <w:sz w:val="18"/>
          <w:szCs w:val="18"/>
        </w:rPr>
        <w:t>Credit Statement(s): </w:t>
      </w:r>
    </w:p>
    <w:p w:rsidRPr="004A3628" w:rsidR="009F2459" w:rsidP="009F2459" w:rsidRDefault="00D61C7F" w14:paraId="6D8CED07" w14:textId="090D63BE">
      <w:pPr>
        <w:pStyle w:val="BodyText"/>
        <w:ind w:left="267"/>
        <w:rPr>
          <w:sz w:val="18"/>
          <w:szCs w:val="18"/>
        </w:rPr>
      </w:pPr>
      <w:r w:rsidRPr="004A3628">
        <w:rPr>
          <w:b/>
          <w:bCs/>
          <w:sz w:val="18"/>
          <w:szCs w:val="18"/>
        </w:rPr>
        <w:t>Accreditation Council for Pharmacy Education (ACPE):</w:t>
      </w:r>
      <w:r w:rsidRPr="004A3628">
        <w:rPr>
          <w:sz w:val="18"/>
          <w:szCs w:val="18"/>
        </w:rPr>
        <w:t xml:space="preserve"> </w:t>
      </w:r>
      <w:r w:rsidRPr="004A3628" w:rsidR="000847D8">
        <w:rPr>
          <w:sz w:val="18"/>
          <w:szCs w:val="18"/>
        </w:rPr>
        <w:br/>
      </w:r>
      <w:r w:rsidRPr="004A3628">
        <w:rPr>
          <w:sz w:val="18"/>
          <w:szCs w:val="18"/>
        </w:rPr>
        <w:t xml:space="preserve">Advocate Health designates this </w:t>
      </w:r>
      <w:r w:rsidR="00407C23">
        <w:rPr>
          <w:sz w:val="18"/>
          <w:szCs w:val="18"/>
        </w:rPr>
        <w:t>enduring</w:t>
      </w:r>
      <w:r w:rsidRPr="004A3628">
        <w:rPr>
          <w:sz w:val="18"/>
          <w:szCs w:val="18"/>
        </w:rPr>
        <w:t xml:space="preserve"> activity for a maximum of </w:t>
      </w:r>
      <w:r w:rsidRPr="004A3628" w:rsidR="00F65EA8">
        <w:rPr>
          <w:sz w:val="18"/>
          <w:szCs w:val="18"/>
        </w:rPr>
        <w:t>1</w:t>
      </w:r>
      <w:r w:rsidRPr="004A362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4A3628">
        <w:rPr>
          <w:spacing w:val="6"/>
          <w:sz w:val="18"/>
          <w:szCs w:val="18"/>
        </w:rPr>
        <w:t xml:space="preserve"> </w:t>
      </w:r>
      <w:r w:rsidRPr="004A3628">
        <w:rPr>
          <w:sz w:val="18"/>
          <w:szCs w:val="18"/>
        </w:rPr>
        <w:t>activity.</w:t>
      </w:r>
      <w:r w:rsidRPr="004A3628" w:rsidR="009F2459">
        <w:rPr>
          <w:sz w:val="18"/>
          <w:szCs w:val="18"/>
        </w:rPr>
        <w:t xml:space="preserve"> </w:t>
      </w:r>
    </w:p>
    <w:p w:rsidRPr="004A3628" w:rsidR="00BF4185" w:rsidP="009F2459" w:rsidRDefault="00BF4185" w14:paraId="5EA3101D" w14:textId="77777777">
      <w:pPr>
        <w:pStyle w:val="BodyText"/>
        <w:ind w:left="267"/>
        <w:rPr>
          <w:sz w:val="18"/>
          <w:szCs w:val="18"/>
        </w:rPr>
      </w:pPr>
    </w:p>
    <w:p w:rsidRPr="00407C23" w:rsidR="009F2459" w:rsidP="009F2459" w:rsidRDefault="009F2459" w14:paraId="5511C12E" w14:textId="157EDFF8">
      <w:pPr>
        <w:pStyle w:val="BodyText"/>
        <w:ind w:left="267"/>
        <w:rPr>
          <w:color w:val="FF0000"/>
          <w:sz w:val="18"/>
          <w:szCs w:val="18"/>
        </w:rPr>
      </w:pPr>
      <w:r w:rsidRPr="1434AA94" w:rsidR="009F2459">
        <w:rPr>
          <w:sz w:val="18"/>
          <w:szCs w:val="18"/>
        </w:rPr>
        <w:t xml:space="preserve">UAN: </w:t>
      </w:r>
    </w:p>
    <w:p w:rsidR="2FCF2DA8" w:rsidP="1434AA94" w:rsidRDefault="2FCF2DA8" w14:paraId="3296BB99" w14:textId="1E26BB75">
      <w:pPr>
        <w:pStyle w:val="BodyText"/>
        <w:ind w:left="267"/>
        <w:rPr>
          <w:noProof w:val="0"/>
          <w:lang w:val="en-US"/>
        </w:rPr>
      </w:pPr>
      <w:r w:rsidRPr="1434AA94" w:rsidR="2FCF2DA8">
        <w:rPr>
          <w:rFonts w:ascii="Open Sans" w:hAnsi="Open Sans" w:eastAsia="Open Sans" w:cs="Open Sans"/>
          <w:b w:val="0"/>
          <w:bCs w:val="0"/>
          <w:i w:val="0"/>
          <w:iCs w:val="0"/>
          <w:caps w:val="0"/>
          <w:smallCaps w:val="0"/>
          <w:noProof w:val="0"/>
          <w:color w:val="373737"/>
          <w:sz w:val="18"/>
          <w:szCs w:val="18"/>
          <w:lang w:val="en-US"/>
        </w:rPr>
        <w:t>JA0006327-0000-26-080-H01-P</w:t>
      </w:r>
    </w:p>
    <w:p w:rsidRPr="004A3628" w:rsidR="000A797A" w:rsidP="00804367" w:rsidRDefault="000A797A" w14:paraId="61390B5F" w14:textId="77777777">
      <w:pPr>
        <w:pStyle w:val="BodyText"/>
        <w:ind w:left="267" w:right="214"/>
        <w:rPr>
          <w:sz w:val="18"/>
          <w:szCs w:val="18"/>
        </w:rPr>
      </w:pPr>
    </w:p>
    <w:p w:rsidRPr="004A3628" w:rsidR="00FB4480" w:rsidP="00FB4480" w:rsidRDefault="00FB4480" w14:paraId="1EBBE735" w14:textId="77DE538D">
      <w:pPr>
        <w:pStyle w:val="BodyText"/>
        <w:ind w:left="267"/>
        <w:rPr>
          <w:sz w:val="18"/>
          <w:szCs w:val="18"/>
        </w:rPr>
      </w:pPr>
      <w:r w:rsidRPr="004A3628">
        <w:rPr>
          <w:b/>
          <w:bCs/>
          <w:sz w:val="18"/>
          <w:szCs w:val="18"/>
        </w:rPr>
        <w:t>American Medical Association (AMA):</w:t>
      </w:r>
      <w:r w:rsidRPr="004A3628">
        <w:rPr>
          <w:sz w:val="18"/>
          <w:szCs w:val="18"/>
        </w:rPr>
        <w:t xml:space="preserve"> Advocate Health designates </w:t>
      </w:r>
      <w:r w:rsidR="00407C23">
        <w:rPr>
          <w:sz w:val="18"/>
          <w:szCs w:val="18"/>
        </w:rPr>
        <w:t>enduring</w:t>
      </w:r>
      <w:r w:rsidRPr="004A3628">
        <w:rPr>
          <w:sz w:val="18"/>
          <w:szCs w:val="18"/>
        </w:rPr>
        <w:t xml:space="preserve"> live activity for a maximum </w:t>
      </w:r>
      <w:r w:rsidRPr="004A3628" w:rsidR="00E45F59">
        <w:rPr>
          <w:sz w:val="18"/>
          <w:szCs w:val="18"/>
        </w:rPr>
        <w:t>of 1.0</w:t>
      </w:r>
      <w:r w:rsidRPr="004A3628">
        <w:rPr>
          <w:sz w:val="18"/>
          <w:szCs w:val="18"/>
        </w:rPr>
        <w:t> </w:t>
      </w:r>
      <w:r w:rsidRPr="004A3628">
        <w:rPr>
          <w:i/>
          <w:iCs/>
          <w:sz w:val="18"/>
          <w:szCs w:val="18"/>
        </w:rPr>
        <w:t>AMA PRA Category 1 Credits™</w:t>
      </w:r>
      <w:r w:rsidRPr="004A3628">
        <w:rPr>
          <w:sz w:val="18"/>
          <w:szCs w:val="18"/>
        </w:rPr>
        <w:t>.  Physicians should claim only the credit commensurate with the extent of their participation in the activity. </w:t>
      </w:r>
    </w:p>
    <w:p w:rsidRPr="004A3628" w:rsidR="000A797A" w:rsidP="00FB4480" w:rsidRDefault="000A797A" w14:paraId="24E3C3EA" w14:textId="77777777">
      <w:pPr>
        <w:pStyle w:val="BodyText"/>
        <w:ind w:left="267"/>
        <w:rPr>
          <w:sz w:val="18"/>
          <w:szCs w:val="18"/>
        </w:rPr>
      </w:pPr>
    </w:p>
    <w:p w:rsidRPr="004A3628" w:rsidR="00F65EA8" w:rsidP="00B97706" w:rsidRDefault="00FB4480" w14:paraId="055E2158" w14:textId="344AFA6A">
      <w:pPr>
        <w:pStyle w:val="BodyText"/>
        <w:ind w:left="267"/>
        <w:rPr>
          <w:sz w:val="18"/>
          <w:szCs w:val="18"/>
        </w:rPr>
      </w:pPr>
      <w:r w:rsidRPr="004A3628">
        <w:rPr>
          <w:b/>
          <w:bCs/>
          <w:sz w:val="18"/>
          <w:szCs w:val="18"/>
        </w:rPr>
        <w:t>American Nurses Credentialing Center (ANCC):</w:t>
      </w:r>
      <w:r w:rsidRPr="004A3628">
        <w:rPr>
          <w:sz w:val="18"/>
          <w:szCs w:val="18"/>
        </w:rPr>
        <w:t xml:space="preserve"> Advocate Health designates this </w:t>
      </w:r>
      <w:r w:rsidR="00407C23">
        <w:rPr>
          <w:sz w:val="18"/>
          <w:szCs w:val="18"/>
        </w:rPr>
        <w:t>enduring</w:t>
      </w:r>
      <w:r w:rsidRPr="004A3628">
        <w:rPr>
          <w:sz w:val="18"/>
          <w:szCs w:val="18"/>
        </w:rPr>
        <w:t xml:space="preserve"> activity for a maximum of 1.0 ANCC contact hours/APRN pharmacological hours. Nurses should claim only the credit commensurate with the extent of their participation in the activity. </w:t>
      </w:r>
    </w:p>
    <w:p w:rsidR="004A3628" w:rsidP="00EA0B70" w:rsidRDefault="00C45F68" w14:paraId="5B7904E3" w14:textId="77777777">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119C93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4A3628">
        <w:rPr>
          <w:rFonts w:eastAsia="Times New Roman" w:cs="Segoe UI"/>
        </w:rPr>
        <w:t xml:space="preserve">   </w:t>
      </w:r>
    </w:p>
    <w:p w:rsidRPr="00BF4185" w:rsidR="00BF4185" w:rsidP="00EA0B70" w:rsidRDefault="004A3628" w14:paraId="53F409D9" w14:textId="41C5C73B">
      <w:pPr>
        <w:pStyle w:val="BodyText"/>
        <w:rPr>
          <w:rFonts w:eastAsia="Times New Roman" w:cs="Segoe UI"/>
        </w:rPr>
      </w:pPr>
      <w:r w:rsidRPr="004A3628">
        <w:rPr>
          <w:rFonts w:eastAsia="Times New Roman" w:cs="Segoe UI"/>
          <w:b/>
          <w:bCs/>
          <w:i/>
          <w:iCs/>
        </w:rPr>
        <w:t>Questions about this activity?</w:t>
      </w:r>
      <w:r>
        <w:rPr>
          <w:rFonts w:eastAsia="Times New Roman" w:cs="Segoe UI"/>
        </w:rPr>
        <w:t xml:space="preserve"> </w:t>
      </w:r>
      <w:hyperlink w:history="1" r:id="rId16">
        <w:r w:rsidRPr="005751EC">
          <w:rPr>
            <w:rStyle w:val="Hyperlink"/>
            <w:rFonts w:eastAsia="Times New Roman" w:cs="Segoe UI"/>
          </w:rPr>
          <w:t>Elaine.r.thomas@advocatehealth.org</w:t>
        </w:r>
      </w:hyperlink>
      <w:r>
        <w:rPr>
          <w:rFonts w:eastAsia="Times New Roman" w:cs="Segoe UI"/>
        </w:rPr>
        <w:t xml:space="preserve"> </w: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p>
    <w:sectPr w:rsidRPr="00BF4185"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679" w:rsidP="00055B10" w:rsidRDefault="00AA3679" w14:paraId="46A0AC90" w14:textId="77777777">
      <w:pPr>
        <w:spacing w:after="0" w:line="240" w:lineRule="auto"/>
      </w:pPr>
      <w:r>
        <w:separator/>
      </w:r>
    </w:p>
  </w:endnote>
  <w:endnote w:type="continuationSeparator" w:id="0">
    <w:p w:rsidR="00AA3679" w:rsidP="00055B10" w:rsidRDefault="00AA3679" w14:paraId="7C6190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679" w:rsidP="00055B10" w:rsidRDefault="00AA3679" w14:paraId="062EF020" w14:textId="77777777">
      <w:pPr>
        <w:spacing w:after="0" w:line="240" w:lineRule="auto"/>
      </w:pPr>
      <w:r>
        <w:separator/>
      </w:r>
    </w:p>
  </w:footnote>
  <w:footnote w:type="continuationSeparator" w:id="0">
    <w:p w:rsidR="00AA3679" w:rsidP="00055B10" w:rsidRDefault="00AA3679" w14:paraId="1ABAD0D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1F0E"/>
    <w:multiLevelType w:val="hybridMultilevel"/>
    <w:tmpl w:val="5362303A"/>
    <w:lvl w:ilvl="0" w:tplc="8B3273D8">
      <w:start w:val="1"/>
      <w:numFmt w:val="decimal"/>
      <w:lvlText w:val="%1."/>
      <w:lvlJc w:val="left"/>
      <w:pPr>
        <w:ind w:left="720" w:hanging="360"/>
      </w:pPr>
      <w:rPr>
        <w:b w:val="0"/>
        <w:bCs w:val="0"/>
      </w:rPr>
    </w:lvl>
    <w:lvl w:ilvl="1" w:tplc="1750BA18">
      <w:start w:val="1"/>
      <w:numFmt w:val="lowerLetter"/>
      <w:lvlText w:val="%2."/>
      <w:lvlJc w:val="left"/>
      <w:pPr>
        <w:ind w:left="1440" w:hanging="360"/>
      </w:pPr>
    </w:lvl>
    <w:lvl w:ilvl="2" w:tplc="C2060208">
      <w:start w:val="1"/>
      <w:numFmt w:val="lowerRoman"/>
      <w:lvlText w:val="%3."/>
      <w:lvlJc w:val="right"/>
      <w:pPr>
        <w:ind w:left="2160" w:hanging="180"/>
      </w:pPr>
    </w:lvl>
    <w:lvl w:ilvl="3" w:tplc="34ACF6AE">
      <w:start w:val="1"/>
      <w:numFmt w:val="decimal"/>
      <w:lvlText w:val="%4."/>
      <w:lvlJc w:val="left"/>
      <w:pPr>
        <w:ind w:left="2880" w:hanging="360"/>
      </w:pPr>
    </w:lvl>
    <w:lvl w:ilvl="4" w:tplc="086422CE">
      <w:start w:val="1"/>
      <w:numFmt w:val="lowerLetter"/>
      <w:lvlText w:val="%5."/>
      <w:lvlJc w:val="left"/>
      <w:pPr>
        <w:ind w:left="3600" w:hanging="360"/>
      </w:pPr>
    </w:lvl>
    <w:lvl w:ilvl="5" w:tplc="B38A28CE">
      <w:start w:val="1"/>
      <w:numFmt w:val="lowerRoman"/>
      <w:lvlText w:val="%6."/>
      <w:lvlJc w:val="right"/>
      <w:pPr>
        <w:ind w:left="4320" w:hanging="180"/>
      </w:pPr>
    </w:lvl>
    <w:lvl w:ilvl="6" w:tplc="E10C203E">
      <w:start w:val="1"/>
      <w:numFmt w:val="decimal"/>
      <w:lvlText w:val="%7."/>
      <w:lvlJc w:val="left"/>
      <w:pPr>
        <w:ind w:left="5040" w:hanging="360"/>
      </w:pPr>
    </w:lvl>
    <w:lvl w:ilvl="7" w:tplc="4D644FF4">
      <w:start w:val="1"/>
      <w:numFmt w:val="lowerLetter"/>
      <w:lvlText w:val="%8."/>
      <w:lvlJc w:val="left"/>
      <w:pPr>
        <w:ind w:left="5760" w:hanging="360"/>
      </w:pPr>
    </w:lvl>
    <w:lvl w:ilvl="8" w:tplc="BA083594">
      <w:start w:val="1"/>
      <w:numFmt w:val="lowerRoman"/>
      <w:lvlText w:val="%9."/>
      <w:lvlJc w:val="right"/>
      <w:pPr>
        <w:ind w:left="6480" w:hanging="180"/>
      </w:pPr>
    </w:lvl>
  </w:abstractNum>
  <w:abstractNum w:abstractNumId="1"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C567B1C"/>
    <w:multiLevelType w:val="multilevel"/>
    <w:tmpl w:val="8076C2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8"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9"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3"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015328"/>
    <w:multiLevelType w:val="multilevel"/>
    <w:tmpl w:val="CC44C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FC241F"/>
    <w:multiLevelType w:val="hybridMultilevel"/>
    <w:tmpl w:val="1E04C26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6175120E"/>
    <w:multiLevelType w:val="multilevel"/>
    <w:tmpl w:val="873A39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3"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2"/>
  </w:num>
  <w:num w:numId="2" w16cid:durableId="161354219">
    <w:abstractNumId w:val="13"/>
  </w:num>
  <w:num w:numId="3" w16cid:durableId="367529949">
    <w:abstractNumId w:val="21"/>
  </w:num>
  <w:num w:numId="4" w16cid:durableId="2113237724">
    <w:abstractNumId w:val="2"/>
  </w:num>
  <w:num w:numId="5" w16cid:durableId="1420172599">
    <w:abstractNumId w:val="5"/>
  </w:num>
  <w:num w:numId="6" w16cid:durableId="1278486410">
    <w:abstractNumId w:val="8"/>
  </w:num>
  <w:num w:numId="7" w16cid:durableId="1918974587">
    <w:abstractNumId w:val="32"/>
  </w:num>
  <w:num w:numId="8" w16cid:durableId="1066414557">
    <w:abstractNumId w:val="16"/>
  </w:num>
  <w:num w:numId="9" w16cid:durableId="1662925891">
    <w:abstractNumId w:val="26"/>
  </w:num>
  <w:num w:numId="10" w16cid:durableId="678048633">
    <w:abstractNumId w:val="31"/>
  </w:num>
  <w:num w:numId="11" w16cid:durableId="1710643530">
    <w:abstractNumId w:val="20"/>
  </w:num>
  <w:num w:numId="12" w16cid:durableId="1014963863">
    <w:abstractNumId w:val="23"/>
  </w:num>
  <w:num w:numId="13" w16cid:durableId="1855924810">
    <w:abstractNumId w:val="29"/>
  </w:num>
  <w:num w:numId="14" w16cid:durableId="1070882303">
    <w:abstractNumId w:val="27"/>
  </w:num>
  <w:num w:numId="15" w16cid:durableId="1279794217">
    <w:abstractNumId w:val="4"/>
  </w:num>
  <w:num w:numId="16" w16cid:durableId="1450009621">
    <w:abstractNumId w:val="25"/>
  </w:num>
  <w:num w:numId="17" w16cid:durableId="1366834961">
    <w:abstractNumId w:val="28"/>
  </w:num>
  <w:num w:numId="18" w16cid:durableId="1591280853">
    <w:abstractNumId w:val="36"/>
  </w:num>
  <w:num w:numId="19" w16cid:durableId="1209731318">
    <w:abstractNumId w:val="34"/>
  </w:num>
  <w:num w:numId="20" w16cid:durableId="1741556706">
    <w:abstractNumId w:val="6"/>
  </w:num>
  <w:num w:numId="21" w16cid:durableId="1032803811">
    <w:abstractNumId w:val="17"/>
  </w:num>
  <w:num w:numId="22" w16cid:durableId="2062900194">
    <w:abstractNumId w:val="12"/>
  </w:num>
  <w:num w:numId="23" w16cid:durableId="1507281094">
    <w:abstractNumId w:val="7"/>
  </w:num>
  <w:num w:numId="24" w16cid:durableId="1392657342">
    <w:abstractNumId w:val="35"/>
  </w:num>
  <w:num w:numId="25" w16cid:durableId="1797025421">
    <w:abstractNumId w:val="10"/>
  </w:num>
  <w:num w:numId="26" w16cid:durableId="333345465">
    <w:abstractNumId w:val="33"/>
  </w:num>
  <w:num w:numId="27" w16cid:durableId="1804930468">
    <w:abstractNumId w:val="1"/>
  </w:num>
  <w:num w:numId="28" w16cid:durableId="1922979966">
    <w:abstractNumId w:val="19"/>
  </w:num>
  <w:num w:numId="29" w16cid:durableId="279337811">
    <w:abstractNumId w:val="11"/>
  </w:num>
  <w:num w:numId="30" w16cid:durableId="2000035843">
    <w:abstractNumId w:val="24"/>
  </w:num>
  <w:num w:numId="31" w16cid:durableId="568999410">
    <w:abstractNumId w:val="14"/>
  </w:num>
  <w:num w:numId="32" w16cid:durableId="215509822">
    <w:abstractNumId w:val="9"/>
  </w:num>
  <w:num w:numId="33" w16cid:durableId="2142840170">
    <w:abstractNumId w:val="18"/>
  </w:num>
  <w:num w:numId="34" w16cid:durableId="472597043">
    <w:abstractNumId w:val="15"/>
  </w:num>
  <w:num w:numId="35" w16cid:durableId="1868716450">
    <w:abstractNumId w:val="3"/>
  </w:num>
  <w:num w:numId="36" w16cid:durableId="648630309">
    <w:abstractNumId w:val="30"/>
  </w:num>
  <w:num w:numId="37" w16cid:durableId="143343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1040"/>
    <w:rsid w:val="00013356"/>
    <w:rsid w:val="0001584D"/>
    <w:rsid w:val="00031461"/>
    <w:rsid w:val="00032355"/>
    <w:rsid w:val="00035260"/>
    <w:rsid w:val="000441DA"/>
    <w:rsid w:val="00046D2B"/>
    <w:rsid w:val="00055B10"/>
    <w:rsid w:val="00056376"/>
    <w:rsid w:val="00077413"/>
    <w:rsid w:val="000847D8"/>
    <w:rsid w:val="000A23CA"/>
    <w:rsid w:val="000A2A61"/>
    <w:rsid w:val="000A695F"/>
    <w:rsid w:val="000A797A"/>
    <w:rsid w:val="000B4458"/>
    <w:rsid w:val="000B58E0"/>
    <w:rsid w:val="000C1DF6"/>
    <w:rsid w:val="000C47AB"/>
    <w:rsid w:val="000C77C2"/>
    <w:rsid w:val="000D6336"/>
    <w:rsid w:val="000F7CD3"/>
    <w:rsid w:val="001214FA"/>
    <w:rsid w:val="00123722"/>
    <w:rsid w:val="00131567"/>
    <w:rsid w:val="001474D0"/>
    <w:rsid w:val="0016423D"/>
    <w:rsid w:val="00164A94"/>
    <w:rsid w:val="00167ED2"/>
    <w:rsid w:val="00175EBB"/>
    <w:rsid w:val="001774E7"/>
    <w:rsid w:val="0018421C"/>
    <w:rsid w:val="0018486C"/>
    <w:rsid w:val="001A0DC5"/>
    <w:rsid w:val="001B4C0F"/>
    <w:rsid w:val="001D5D69"/>
    <w:rsid w:val="00204974"/>
    <w:rsid w:val="00221947"/>
    <w:rsid w:val="00224AB6"/>
    <w:rsid w:val="00236B9A"/>
    <w:rsid w:val="00241EB2"/>
    <w:rsid w:val="00247D32"/>
    <w:rsid w:val="00252416"/>
    <w:rsid w:val="00293830"/>
    <w:rsid w:val="002A0DB3"/>
    <w:rsid w:val="002A7E3A"/>
    <w:rsid w:val="002B1714"/>
    <w:rsid w:val="002C196A"/>
    <w:rsid w:val="002D43F3"/>
    <w:rsid w:val="002F1262"/>
    <w:rsid w:val="00311774"/>
    <w:rsid w:val="00322A54"/>
    <w:rsid w:val="00325B86"/>
    <w:rsid w:val="00336689"/>
    <w:rsid w:val="00337147"/>
    <w:rsid w:val="00337CFE"/>
    <w:rsid w:val="00352F3E"/>
    <w:rsid w:val="00363494"/>
    <w:rsid w:val="00363949"/>
    <w:rsid w:val="003649E5"/>
    <w:rsid w:val="00375E6A"/>
    <w:rsid w:val="00380B86"/>
    <w:rsid w:val="00385746"/>
    <w:rsid w:val="00387C4E"/>
    <w:rsid w:val="00391011"/>
    <w:rsid w:val="00397256"/>
    <w:rsid w:val="003A5F6F"/>
    <w:rsid w:val="003A7AD8"/>
    <w:rsid w:val="003D00E1"/>
    <w:rsid w:val="003D0265"/>
    <w:rsid w:val="003D08D5"/>
    <w:rsid w:val="003D37EF"/>
    <w:rsid w:val="003E51CF"/>
    <w:rsid w:val="003E646E"/>
    <w:rsid w:val="003F074C"/>
    <w:rsid w:val="004003D4"/>
    <w:rsid w:val="0040296F"/>
    <w:rsid w:val="00406851"/>
    <w:rsid w:val="00407C23"/>
    <w:rsid w:val="00416BF9"/>
    <w:rsid w:val="00417068"/>
    <w:rsid w:val="00430AF0"/>
    <w:rsid w:val="00434450"/>
    <w:rsid w:val="00446663"/>
    <w:rsid w:val="00446FFE"/>
    <w:rsid w:val="00451F9C"/>
    <w:rsid w:val="00460863"/>
    <w:rsid w:val="00463271"/>
    <w:rsid w:val="00473534"/>
    <w:rsid w:val="00473563"/>
    <w:rsid w:val="00482FC7"/>
    <w:rsid w:val="004942A3"/>
    <w:rsid w:val="004A0587"/>
    <w:rsid w:val="004A3628"/>
    <w:rsid w:val="004A4AA1"/>
    <w:rsid w:val="004C7395"/>
    <w:rsid w:val="004D0FF0"/>
    <w:rsid w:val="004D18CF"/>
    <w:rsid w:val="004E1183"/>
    <w:rsid w:val="0050083B"/>
    <w:rsid w:val="005117E0"/>
    <w:rsid w:val="00553449"/>
    <w:rsid w:val="00565174"/>
    <w:rsid w:val="00567102"/>
    <w:rsid w:val="005721B0"/>
    <w:rsid w:val="005773FC"/>
    <w:rsid w:val="00585244"/>
    <w:rsid w:val="005B551C"/>
    <w:rsid w:val="005C089E"/>
    <w:rsid w:val="005C315D"/>
    <w:rsid w:val="005E13F2"/>
    <w:rsid w:val="005E1D1C"/>
    <w:rsid w:val="005E324D"/>
    <w:rsid w:val="005E7E36"/>
    <w:rsid w:val="005F3CDB"/>
    <w:rsid w:val="00601683"/>
    <w:rsid w:val="00613E80"/>
    <w:rsid w:val="00616C31"/>
    <w:rsid w:val="00621013"/>
    <w:rsid w:val="0062327A"/>
    <w:rsid w:val="00634E85"/>
    <w:rsid w:val="00647BBC"/>
    <w:rsid w:val="0065650A"/>
    <w:rsid w:val="006570D6"/>
    <w:rsid w:val="00663639"/>
    <w:rsid w:val="006749FD"/>
    <w:rsid w:val="006878F1"/>
    <w:rsid w:val="00691F4D"/>
    <w:rsid w:val="006955B2"/>
    <w:rsid w:val="006972D5"/>
    <w:rsid w:val="006A18AC"/>
    <w:rsid w:val="006A5B7E"/>
    <w:rsid w:val="006E2C28"/>
    <w:rsid w:val="006E5BF1"/>
    <w:rsid w:val="006F0193"/>
    <w:rsid w:val="006F2CB3"/>
    <w:rsid w:val="006F75ED"/>
    <w:rsid w:val="00703E29"/>
    <w:rsid w:val="007346C8"/>
    <w:rsid w:val="00743969"/>
    <w:rsid w:val="00747067"/>
    <w:rsid w:val="0076528C"/>
    <w:rsid w:val="007720BD"/>
    <w:rsid w:val="0077571D"/>
    <w:rsid w:val="00790717"/>
    <w:rsid w:val="007A0DDD"/>
    <w:rsid w:val="007A5373"/>
    <w:rsid w:val="007B0207"/>
    <w:rsid w:val="007B12B8"/>
    <w:rsid w:val="007B30A4"/>
    <w:rsid w:val="007C306F"/>
    <w:rsid w:val="007D39C6"/>
    <w:rsid w:val="007F6EAA"/>
    <w:rsid w:val="00804367"/>
    <w:rsid w:val="008053D0"/>
    <w:rsid w:val="0080544B"/>
    <w:rsid w:val="0080720D"/>
    <w:rsid w:val="008160DB"/>
    <w:rsid w:val="00824E25"/>
    <w:rsid w:val="00831F59"/>
    <w:rsid w:val="008323E9"/>
    <w:rsid w:val="0083370B"/>
    <w:rsid w:val="008339B0"/>
    <w:rsid w:val="008430D8"/>
    <w:rsid w:val="008466A4"/>
    <w:rsid w:val="00850C97"/>
    <w:rsid w:val="0087352F"/>
    <w:rsid w:val="00874037"/>
    <w:rsid w:val="008832A2"/>
    <w:rsid w:val="0088366A"/>
    <w:rsid w:val="008911DB"/>
    <w:rsid w:val="008A2311"/>
    <w:rsid w:val="008B49B6"/>
    <w:rsid w:val="008B4E02"/>
    <w:rsid w:val="008B5743"/>
    <w:rsid w:val="008D004F"/>
    <w:rsid w:val="008D33D5"/>
    <w:rsid w:val="009005E8"/>
    <w:rsid w:val="00900B72"/>
    <w:rsid w:val="00914EB6"/>
    <w:rsid w:val="00944023"/>
    <w:rsid w:val="00947E67"/>
    <w:rsid w:val="00955A2A"/>
    <w:rsid w:val="009638F6"/>
    <w:rsid w:val="00964945"/>
    <w:rsid w:val="00973B55"/>
    <w:rsid w:val="009A7D4E"/>
    <w:rsid w:val="009C0BC6"/>
    <w:rsid w:val="009D65D9"/>
    <w:rsid w:val="009D78EC"/>
    <w:rsid w:val="009E10D1"/>
    <w:rsid w:val="009F008B"/>
    <w:rsid w:val="009F2459"/>
    <w:rsid w:val="009F694F"/>
    <w:rsid w:val="00A04DC5"/>
    <w:rsid w:val="00A12DA0"/>
    <w:rsid w:val="00A241B1"/>
    <w:rsid w:val="00A26E52"/>
    <w:rsid w:val="00A47804"/>
    <w:rsid w:val="00A610E7"/>
    <w:rsid w:val="00A76075"/>
    <w:rsid w:val="00A771A6"/>
    <w:rsid w:val="00AA3679"/>
    <w:rsid w:val="00AB1AF9"/>
    <w:rsid w:val="00AE337A"/>
    <w:rsid w:val="00AE4CAD"/>
    <w:rsid w:val="00AF7D9A"/>
    <w:rsid w:val="00B03201"/>
    <w:rsid w:val="00B03F7B"/>
    <w:rsid w:val="00B2291F"/>
    <w:rsid w:val="00B2601C"/>
    <w:rsid w:val="00B45C82"/>
    <w:rsid w:val="00B4607E"/>
    <w:rsid w:val="00B50CE9"/>
    <w:rsid w:val="00B5431E"/>
    <w:rsid w:val="00B621ED"/>
    <w:rsid w:val="00B64C1C"/>
    <w:rsid w:val="00B70108"/>
    <w:rsid w:val="00B74888"/>
    <w:rsid w:val="00B75520"/>
    <w:rsid w:val="00B75F57"/>
    <w:rsid w:val="00B81ACD"/>
    <w:rsid w:val="00B83945"/>
    <w:rsid w:val="00B84456"/>
    <w:rsid w:val="00B97676"/>
    <w:rsid w:val="00B97706"/>
    <w:rsid w:val="00BA4232"/>
    <w:rsid w:val="00BB31ED"/>
    <w:rsid w:val="00BB63B9"/>
    <w:rsid w:val="00BD5170"/>
    <w:rsid w:val="00BD6B07"/>
    <w:rsid w:val="00BE1105"/>
    <w:rsid w:val="00BE23DE"/>
    <w:rsid w:val="00BF2660"/>
    <w:rsid w:val="00BF4185"/>
    <w:rsid w:val="00BF70CD"/>
    <w:rsid w:val="00C05E8F"/>
    <w:rsid w:val="00C1436E"/>
    <w:rsid w:val="00C25711"/>
    <w:rsid w:val="00C41379"/>
    <w:rsid w:val="00C43F1B"/>
    <w:rsid w:val="00C45F68"/>
    <w:rsid w:val="00C5432F"/>
    <w:rsid w:val="00C706A4"/>
    <w:rsid w:val="00C87FDC"/>
    <w:rsid w:val="00C945C2"/>
    <w:rsid w:val="00CA5AA6"/>
    <w:rsid w:val="00CB0B5B"/>
    <w:rsid w:val="00CB7CD9"/>
    <w:rsid w:val="00CD118E"/>
    <w:rsid w:val="00CD1372"/>
    <w:rsid w:val="00CF51C6"/>
    <w:rsid w:val="00CF5C71"/>
    <w:rsid w:val="00D1496D"/>
    <w:rsid w:val="00D15356"/>
    <w:rsid w:val="00D17BEC"/>
    <w:rsid w:val="00D303A6"/>
    <w:rsid w:val="00D354ED"/>
    <w:rsid w:val="00D35C1E"/>
    <w:rsid w:val="00D4544D"/>
    <w:rsid w:val="00D46AC1"/>
    <w:rsid w:val="00D4798F"/>
    <w:rsid w:val="00D5165E"/>
    <w:rsid w:val="00D55EB9"/>
    <w:rsid w:val="00D61C7F"/>
    <w:rsid w:val="00D62491"/>
    <w:rsid w:val="00D71E36"/>
    <w:rsid w:val="00D8285B"/>
    <w:rsid w:val="00D84547"/>
    <w:rsid w:val="00D8590F"/>
    <w:rsid w:val="00D93A5A"/>
    <w:rsid w:val="00D951ED"/>
    <w:rsid w:val="00DA1AE7"/>
    <w:rsid w:val="00DA4DA2"/>
    <w:rsid w:val="00DB50AB"/>
    <w:rsid w:val="00DB532B"/>
    <w:rsid w:val="00DF42CE"/>
    <w:rsid w:val="00DF46F1"/>
    <w:rsid w:val="00E131F5"/>
    <w:rsid w:val="00E21209"/>
    <w:rsid w:val="00E2152E"/>
    <w:rsid w:val="00E22911"/>
    <w:rsid w:val="00E24ABE"/>
    <w:rsid w:val="00E45F59"/>
    <w:rsid w:val="00E5477E"/>
    <w:rsid w:val="00E563E6"/>
    <w:rsid w:val="00E70BD7"/>
    <w:rsid w:val="00E74B71"/>
    <w:rsid w:val="00E74FC8"/>
    <w:rsid w:val="00E81A15"/>
    <w:rsid w:val="00E842EB"/>
    <w:rsid w:val="00E965A0"/>
    <w:rsid w:val="00EA0B70"/>
    <w:rsid w:val="00EA0C61"/>
    <w:rsid w:val="00EA679F"/>
    <w:rsid w:val="00EA7AE4"/>
    <w:rsid w:val="00EB63F4"/>
    <w:rsid w:val="00EC18D4"/>
    <w:rsid w:val="00ED024A"/>
    <w:rsid w:val="00EE05F1"/>
    <w:rsid w:val="00EE4ECF"/>
    <w:rsid w:val="00EF393A"/>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434AA94"/>
    <w:rsid w:val="15E966A7"/>
    <w:rsid w:val="16687112"/>
    <w:rsid w:val="20EFEEEF"/>
    <w:rsid w:val="24FA8CA7"/>
    <w:rsid w:val="24FD1519"/>
    <w:rsid w:val="25E66214"/>
    <w:rsid w:val="26638A87"/>
    <w:rsid w:val="2D06F36F"/>
    <w:rsid w:val="2F37A001"/>
    <w:rsid w:val="2FCF2DA8"/>
    <w:rsid w:val="3468A303"/>
    <w:rsid w:val="393B49DD"/>
    <w:rsid w:val="393C1426"/>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2A0D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Elaine.r.thomas@advocatehealth.org"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211D0-3F77-48EA-B413-EBE9ABBE6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10</cp:revision>
  <dcterms:created xsi:type="dcterms:W3CDTF">2026-01-27T23:51:00Z</dcterms:created>
  <dcterms:modified xsi:type="dcterms:W3CDTF">2026-04-03T17:37:41Z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5" name="docLang">
    <vt:lpwstr>en</vt:lpwstr>
  </property>
</Properties>
</file>