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3F2F" w:rsidP="003B3F2F" w:rsidRDefault="003B3F2F" w14:paraId="388ACCF8" w14:textId="77777777">
                            <w:pPr>
                              <w:spacing w:after="0" w:line="240" w:lineRule="auto"/>
                              <w:ind w:left="720" w:hanging="720"/>
                              <w:jc w:val="center"/>
                              <w:rPr>
                                <w:rFonts w:eastAsia="Verdana" w:cstheme="minorHAnsi"/>
                                <w:sz w:val="36"/>
                                <w:szCs w:val="36"/>
                                <w:lang w:bidi="en-US"/>
                              </w:rPr>
                            </w:pPr>
                            <w:bookmarkStart w:name="_Hlk129337215" w:id="0"/>
                            <w:r w:rsidRPr="003B3F2F">
                              <w:rPr>
                                <w:rFonts w:eastAsia="Verdana" w:cstheme="minorHAnsi"/>
                                <w:sz w:val="36"/>
                                <w:szCs w:val="36"/>
                                <w:lang w:bidi="en-US"/>
                              </w:rPr>
                              <w:t xml:space="preserve">Apixaban Loading in Anticoagulated Patients </w:t>
                            </w:r>
                          </w:p>
                          <w:p w:rsidRPr="003B3F2F" w:rsidR="003B3F2F" w:rsidP="003B3F2F" w:rsidRDefault="003B3F2F" w14:paraId="71FC33BC" w14:textId="1AF4B32F">
                            <w:pPr>
                              <w:spacing w:after="0" w:line="240" w:lineRule="auto"/>
                              <w:ind w:left="720" w:hanging="720"/>
                              <w:jc w:val="center"/>
                              <w:rPr>
                                <w:rFonts w:eastAsia="Verdana" w:cstheme="minorHAnsi"/>
                                <w:sz w:val="36"/>
                                <w:szCs w:val="36"/>
                                <w:lang w:bidi="en-US"/>
                              </w:rPr>
                            </w:pPr>
                            <w:r w:rsidRPr="003B3F2F">
                              <w:rPr>
                                <w:rFonts w:eastAsia="Verdana" w:cstheme="minorHAnsi"/>
                                <w:sz w:val="36"/>
                                <w:szCs w:val="36"/>
                                <w:lang w:bidi="en-US"/>
                              </w:rPr>
                              <w:t>Updates to Antiplatelet Bridging Therapy in Cardiac Catheterization</w:t>
                            </w:r>
                          </w:p>
                          <w:p w:rsidR="00241EB2" w:rsidP="005F3CDB" w:rsidRDefault="00A73D52" w14:paraId="3C7ED68E" w14:textId="4BB496A5">
                            <w:pPr>
                              <w:spacing w:after="0" w:line="240" w:lineRule="auto"/>
                              <w:ind w:left="720" w:hanging="720"/>
                              <w:jc w:val="center"/>
                              <w:rPr>
                                <w:sz w:val="24"/>
                                <w:szCs w:val="24"/>
                              </w:rPr>
                            </w:pPr>
                            <w:r>
                              <w:rPr>
                                <w:sz w:val="24"/>
                                <w:szCs w:val="24"/>
                              </w:rPr>
                              <w:t>Recorded Session on the Advocate Health CE Platform</w:t>
                            </w:r>
                          </w:p>
                          <w:p w:rsidRPr="00565174" w:rsidR="008160DB" w:rsidP="005F3CDB" w:rsidRDefault="00A73D52" w14:paraId="127390E2" w14:textId="1F80E30C">
                            <w:pPr>
                              <w:spacing w:after="0" w:line="240" w:lineRule="auto"/>
                              <w:ind w:left="720" w:hanging="720"/>
                              <w:jc w:val="center"/>
                              <w:rPr>
                                <w:sz w:val="24"/>
                                <w:szCs w:val="24"/>
                              </w:rPr>
                            </w:pPr>
                            <w:r>
                              <w:rPr>
                                <w:sz w:val="24"/>
                                <w:szCs w:val="24"/>
                              </w:rPr>
                              <w:t>From 3</w:t>
                            </w:r>
                            <w:r w:rsidR="009E3C35">
                              <w:rPr>
                                <w:sz w:val="24"/>
                                <w:szCs w:val="24"/>
                              </w:rPr>
                              <w:t>/26/26-3/26/27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v:textbox>
                  <w:txbxContent>
                    <w:p w:rsidR="003B3F2F" w:rsidP="003B3F2F" w:rsidRDefault="003B3F2F" w14:paraId="388ACCF8" w14:textId="77777777">
                      <w:pPr>
                        <w:spacing w:after="0" w:line="240" w:lineRule="auto"/>
                        <w:ind w:left="720" w:hanging="720"/>
                        <w:jc w:val="center"/>
                        <w:rPr>
                          <w:rFonts w:eastAsia="Verdana" w:cstheme="minorHAnsi"/>
                          <w:sz w:val="36"/>
                          <w:szCs w:val="36"/>
                          <w:lang w:bidi="en-US"/>
                        </w:rPr>
                      </w:pPr>
                      <w:r w:rsidRPr="003B3F2F">
                        <w:rPr>
                          <w:rFonts w:eastAsia="Verdana" w:cstheme="minorHAnsi"/>
                          <w:sz w:val="36"/>
                          <w:szCs w:val="36"/>
                          <w:lang w:bidi="en-US"/>
                        </w:rPr>
                        <w:t xml:space="preserve">Apixaban Loading in Anticoagulated Patients </w:t>
                      </w:r>
                    </w:p>
                    <w:p w:rsidRPr="003B3F2F" w:rsidR="003B3F2F" w:rsidP="003B3F2F" w:rsidRDefault="003B3F2F" w14:paraId="71FC33BC" w14:textId="1AF4B32F">
                      <w:pPr>
                        <w:spacing w:after="0" w:line="240" w:lineRule="auto"/>
                        <w:ind w:left="720" w:hanging="720"/>
                        <w:jc w:val="center"/>
                        <w:rPr>
                          <w:rFonts w:eastAsia="Verdana" w:cstheme="minorHAnsi"/>
                          <w:sz w:val="36"/>
                          <w:szCs w:val="36"/>
                          <w:lang w:bidi="en-US"/>
                        </w:rPr>
                      </w:pPr>
                      <w:r w:rsidRPr="003B3F2F">
                        <w:rPr>
                          <w:rFonts w:eastAsia="Verdana" w:cstheme="minorHAnsi"/>
                          <w:sz w:val="36"/>
                          <w:szCs w:val="36"/>
                          <w:lang w:bidi="en-US"/>
                        </w:rPr>
                        <w:t>Updates to Antiplatelet Bridging Therapy in Cardiac Catheterization</w:t>
                      </w:r>
                    </w:p>
                    <w:p w:rsidR="00241EB2" w:rsidP="005F3CDB" w:rsidRDefault="00A73D52" w14:paraId="3C7ED68E" w14:textId="4BB496A5">
                      <w:pPr>
                        <w:spacing w:after="0" w:line="240" w:lineRule="auto"/>
                        <w:ind w:left="720" w:hanging="720"/>
                        <w:jc w:val="center"/>
                        <w:rPr>
                          <w:sz w:val="24"/>
                          <w:szCs w:val="24"/>
                        </w:rPr>
                      </w:pPr>
                      <w:r>
                        <w:rPr>
                          <w:sz w:val="24"/>
                          <w:szCs w:val="24"/>
                        </w:rPr>
                        <w:t>Recorded Session on the Advocate Health CE Platform</w:t>
                      </w:r>
                    </w:p>
                    <w:p w:rsidRPr="00565174" w:rsidR="008160DB" w:rsidP="005F3CDB" w:rsidRDefault="00A73D52" w14:paraId="127390E2" w14:textId="1F80E30C">
                      <w:pPr>
                        <w:spacing w:after="0" w:line="240" w:lineRule="auto"/>
                        <w:ind w:left="720" w:hanging="720"/>
                        <w:jc w:val="center"/>
                        <w:rPr>
                          <w:sz w:val="24"/>
                          <w:szCs w:val="24"/>
                        </w:rPr>
                      </w:pPr>
                      <w:r>
                        <w:rPr>
                          <w:sz w:val="24"/>
                          <w:szCs w:val="24"/>
                        </w:rPr>
                        <w:t>From 3</w:t>
                      </w:r>
                      <w:r w:rsidR="009E3C35">
                        <w:rPr>
                          <w:sz w:val="24"/>
                          <w:szCs w:val="24"/>
                        </w:rPr>
                        <w:t>/26/26-3/26/27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906F4C" w:rsidR="00906F4C" w:rsidP="00906F4C" w:rsidRDefault="00F65EA8" w14:paraId="6525ABFD" w14:textId="69B78D9F">
      <w:pPr>
        <w:pStyle w:val="BodyText"/>
        <w:spacing w:before="2" w:line="249" w:lineRule="auto"/>
        <w:ind w:right="216"/>
        <w:rPr>
          <w:sz w:val="18"/>
          <w:szCs w:val="18"/>
        </w:rPr>
      </w:pPr>
      <w:r w:rsidRPr="006878F1">
        <w:rPr>
          <w:b/>
          <w:bCs/>
        </w:rPr>
        <w:t xml:space="preserve">Overview: </w:t>
      </w:r>
      <w:r w:rsidRPr="00906F4C" w:rsidR="00906F4C">
        <w:rPr>
          <w:sz w:val="18"/>
          <w:szCs w:val="18"/>
        </w:rPr>
        <w:t>This presentation will r</w:t>
      </w:r>
      <w:r w:rsidRPr="00906F4C" w:rsidR="00906F4C">
        <w:rPr>
          <w:sz w:val="18"/>
          <w:szCs w:val="18"/>
        </w:rPr>
        <w:t xml:space="preserve">eview the pharmacology of apixaban in which it is appropriate to initiate apixaban loading in patients previously receiving therapeutic anticoagulation. It will also clarify recommended loading strategies when transitioning from alternative IV or oral anticoagulants. </w:t>
      </w:r>
      <w:r w:rsidR="00992B0D">
        <w:rPr>
          <w:sz w:val="18"/>
          <w:szCs w:val="18"/>
        </w:rPr>
        <w:t>In addition, the presentation will cover</w:t>
      </w:r>
      <w:r w:rsidRPr="00906F4C" w:rsidR="00906F4C">
        <w:rPr>
          <w:sz w:val="18"/>
          <w:szCs w:val="18"/>
        </w:rPr>
        <w:t xml:space="preserve"> current guidelines and recommendations surrounding available strategies to bridge patients requiring antiplatelet therapy from cardiac catheterization</w:t>
      </w:r>
      <w:r w:rsidR="00276778">
        <w:rPr>
          <w:sz w:val="18"/>
          <w:szCs w:val="18"/>
        </w:rPr>
        <w:t xml:space="preserve">, </w:t>
      </w:r>
      <w:proofErr w:type="gramStart"/>
      <w:r w:rsidR="00276778">
        <w:rPr>
          <w:sz w:val="18"/>
          <w:szCs w:val="18"/>
        </w:rPr>
        <w:t>c</w:t>
      </w:r>
      <w:r w:rsidRPr="00906F4C" w:rsidR="00906F4C">
        <w:rPr>
          <w:sz w:val="18"/>
          <w:szCs w:val="18"/>
        </w:rPr>
        <w:t>ompare and contrast</w:t>
      </w:r>
      <w:proofErr w:type="gramEnd"/>
      <w:r w:rsidRPr="00906F4C" w:rsidR="00906F4C">
        <w:rPr>
          <w:sz w:val="18"/>
          <w:szCs w:val="18"/>
        </w:rPr>
        <w:t xml:space="preserve"> available pharmacologic agents</w:t>
      </w:r>
      <w:r w:rsidR="00276778">
        <w:rPr>
          <w:sz w:val="18"/>
          <w:szCs w:val="18"/>
        </w:rPr>
        <w:t>,</w:t>
      </w:r>
      <w:r w:rsidRPr="00906F4C" w:rsidR="00906F4C">
        <w:rPr>
          <w:sz w:val="18"/>
          <w:szCs w:val="18"/>
        </w:rPr>
        <w:t xml:space="preserve"> </w:t>
      </w:r>
      <w:r w:rsidR="00276778">
        <w:rPr>
          <w:sz w:val="18"/>
          <w:szCs w:val="18"/>
        </w:rPr>
        <w:t>and c</w:t>
      </w:r>
      <w:r w:rsidRPr="00906F4C" w:rsidR="00906F4C">
        <w:rPr>
          <w:sz w:val="18"/>
          <w:szCs w:val="18"/>
        </w:rPr>
        <w:t xml:space="preserve">ompare P&amp;T </w:t>
      </w:r>
      <w:r w:rsidR="00276778">
        <w:rPr>
          <w:sz w:val="18"/>
          <w:szCs w:val="18"/>
        </w:rPr>
        <w:t>C</w:t>
      </w:r>
      <w:r w:rsidRPr="00906F4C" w:rsidR="00906F4C">
        <w:rPr>
          <w:sz w:val="18"/>
          <w:szCs w:val="18"/>
        </w:rPr>
        <w:t xml:space="preserve">ommittee’s stance on </w:t>
      </w:r>
      <w:proofErr w:type="spellStart"/>
      <w:r w:rsidRPr="00906F4C" w:rsidR="00906F4C">
        <w:rPr>
          <w:sz w:val="18"/>
          <w:szCs w:val="18"/>
        </w:rPr>
        <w:t>cangrelor</w:t>
      </w:r>
      <w:proofErr w:type="spellEnd"/>
      <w:r w:rsidR="00276778">
        <w:rPr>
          <w:sz w:val="18"/>
          <w:szCs w:val="18"/>
        </w:rPr>
        <w:t xml:space="preserve"> w</w:t>
      </w:r>
      <w:r w:rsidRPr="00906F4C" w:rsidR="00906F4C">
        <w:rPr>
          <w:sz w:val="18"/>
          <w:szCs w:val="18"/>
        </w:rPr>
        <w:t xml:space="preserve">ith current best practices. </w:t>
      </w:r>
    </w:p>
    <w:p w:rsidRPr="00B40198" w:rsidR="00D354ED" w:rsidP="00EB63F4" w:rsidRDefault="00D354ED" w14:paraId="5D6078F1" w14:textId="7143E73E">
      <w:pPr>
        <w:pStyle w:val="BodyText"/>
        <w:spacing w:before="2" w:line="249" w:lineRule="auto"/>
        <w:ind w:right="216"/>
      </w:pPr>
    </w:p>
    <w:p w:rsidR="00A31E5B" w:rsidP="006D61A8" w:rsidRDefault="00F65EA8" w14:paraId="03D7B7F9" w14:textId="27288EF5">
      <w:pPr>
        <w:pStyle w:val="BodyText"/>
        <w:spacing w:line="227" w:lineRule="exact"/>
        <w:rPr>
          <w:sz w:val="18"/>
          <w:szCs w:val="18"/>
        </w:rPr>
      </w:pPr>
      <w:r w:rsidRPr="0225046F">
        <w:rPr>
          <w:b/>
          <w:bCs/>
        </w:rPr>
        <w:t>Speaker</w:t>
      </w:r>
      <w:r w:rsidR="00FF34D8">
        <w:rPr>
          <w:b/>
          <w:bCs/>
        </w:rPr>
        <w:t>s</w:t>
      </w:r>
      <w:r w:rsidRPr="0225046F">
        <w:rPr>
          <w:b/>
          <w:bCs/>
        </w:rPr>
        <w:t>: </w:t>
      </w:r>
      <w:r w:rsidRPr="0225046F" w:rsidR="47CD63D6">
        <w:rPr>
          <w:rFonts w:ascii="Times New Roman" w:hAnsi="Times New Roman" w:eastAsia="Times New Roman" w:cs="Times New Roman"/>
          <w:color w:val="000000" w:themeColor="text1"/>
        </w:rPr>
        <w:t xml:space="preserve"> </w:t>
      </w:r>
      <w:r w:rsidRPr="00FF34D8" w:rsidR="00FB3EDE">
        <w:rPr>
          <w:sz w:val="18"/>
          <w:szCs w:val="18"/>
        </w:rPr>
        <w:t>Gerek Simonis, PharmD</w:t>
      </w:r>
      <w:r w:rsidRPr="00FF34D8" w:rsidR="00A31E5B">
        <w:rPr>
          <w:sz w:val="18"/>
          <w:szCs w:val="18"/>
        </w:rPr>
        <w:t>, and</w:t>
      </w:r>
      <w:r w:rsidRPr="00FF34D8" w:rsidR="00FB3EDE">
        <w:rPr>
          <w:sz w:val="18"/>
          <w:szCs w:val="18"/>
        </w:rPr>
        <w:t xml:space="preserve"> Olivia Vlasin, PharmD, PGY-1, </w:t>
      </w:r>
      <w:r w:rsidRPr="00FF34D8" w:rsidR="00FB3EDE">
        <w:rPr>
          <w:sz w:val="18"/>
          <w:szCs w:val="18"/>
        </w:rPr>
        <w:t>PGY-1 Pharmacy Residents, A</w:t>
      </w:r>
      <w:r w:rsidRPr="00FF34D8" w:rsidR="00A31E5B">
        <w:rPr>
          <w:sz w:val="18"/>
          <w:szCs w:val="18"/>
        </w:rPr>
        <w:t>dvocate Aurora St. Luke’s Medical Center</w:t>
      </w:r>
    </w:p>
    <w:p w:rsidRPr="006D61A8" w:rsidR="006D61A8" w:rsidP="006D61A8" w:rsidRDefault="006D61A8" w14:paraId="78D1A2EC" w14:textId="77777777">
      <w:pPr>
        <w:pStyle w:val="BodyText"/>
        <w:spacing w:line="227" w:lineRule="exact"/>
        <w:rPr>
          <w:b/>
          <w:bCs/>
          <w:sz w:val="18"/>
          <w:szCs w:val="18"/>
        </w:rPr>
      </w:pPr>
    </w:p>
    <w:p w:rsidRPr="00FF34D8" w:rsidR="00D15356" w:rsidP="00434450" w:rsidRDefault="00B45C82" w14:paraId="7AC66434" w14:textId="6B80A4F3">
      <w:pPr>
        <w:rPr>
          <w:rFonts w:ascii="Verdana" w:hAnsi="Verdana"/>
          <w:sz w:val="20"/>
          <w:lang w:bidi="en-US"/>
        </w:rPr>
      </w:pPr>
      <w:r w:rsidRPr="0225046F">
        <w:rPr>
          <w:rFonts w:ascii="Verdana" w:hAnsi="Verdana"/>
          <w:b/>
          <w:bCs/>
          <w:sz w:val="20"/>
          <w:szCs w:val="20"/>
        </w:rPr>
        <w:t>Preceptor</w:t>
      </w:r>
      <w:r w:rsidR="00FF34D8">
        <w:rPr>
          <w:rFonts w:ascii="Verdana" w:hAnsi="Verdana"/>
          <w:b/>
          <w:bCs/>
          <w:sz w:val="20"/>
          <w:szCs w:val="20"/>
        </w:rPr>
        <w:t>s</w:t>
      </w:r>
      <w:r w:rsidRPr="0225046F">
        <w:rPr>
          <w:rFonts w:ascii="Verdana" w:hAnsi="Verdana"/>
          <w:b/>
          <w:bCs/>
          <w:sz w:val="20"/>
          <w:szCs w:val="20"/>
        </w:rPr>
        <w:t>:</w:t>
      </w:r>
      <w:r w:rsidR="00DF46F1">
        <w:rPr>
          <w:rFonts w:ascii="Verdana" w:hAnsi="Verdana"/>
          <w:b/>
          <w:bCs/>
          <w:sz w:val="20"/>
          <w:szCs w:val="20"/>
        </w:rPr>
        <w:t xml:space="preserve"> </w:t>
      </w:r>
      <w:r w:rsidRPr="00FF34D8" w:rsidR="00A95B39">
        <w:rPr>
          <w:rFonts w:ascii="Verdana" w:hAnsi="Verdana"/>
          <w:sz w:val="18"/>
          <w:szCs w:val="18"/>
          <w:lang w:bidi="en-US"/>
        </w:rPr>
        <w:t>James Mathia, PharmD, BCPS</w:t>
      </w:r>
      <w:r w:rsidRPr="00FF34D8" w:rsidR="00A95B39">
        <w:rPr>
          <w:rFonts w:ascii="Verdana" w:hAnsi="Verdana"/>
          <w:sz w:val="18"/>
          <w:szCs w:val="18"/>
          <w:lang w:bidi="en-US"/>
        </w:rPr>
        <w:t xml:space="preserve">, and </w:t>
      </w:r>
      <w:r w:rsidRPr="00FF34D8" w:rsidR="00FF34D8">
        <w:rPr>
          <w:rFonts w:ascii="Verdana" w:hAnsi="Verdana"/>
          <w:sz w:val="18"/>
          <w:szCs w:val="18"/>
          <w:lang w:bidi="en-US"/>
        </w:rPr>
        <w:t>Ryan Stormont, PharmD, BCCCP, BCPT</w:t>
      </w:r>
    </w:p>
    <w:p w:rsidRPr="006878F1" w:rsidR="00F65EA8" w:rsidP="00F65EA8" w:rsidRDefault="00F65EA8" w14:paraId="055EF5BB" w14:textId="77777777">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rsidRPr="006D61A8" w:rsidR="00EB6DCF" w:rsidP="006D61A8" w:rsidRDefault="00EB6DCF" w14:paraId="0A4B74E4" w14:textId="0DEFAABB">
      <w:pPr>
        <w:pStyle w:val="ListParagraph"/>
        <w:numPr>
          <w:ilvl w:val="0"/>
          <w:numId w:val="34"/>
        </w:numPr>
        <w:spacing w:line="240" w:lineRule="auto"/>
        <w:rPr>
          <w:rFonts w:ascii="Verdana" w:hAnsi="Verdana"/>
          <w:sz w:val="18"/>
          <w:szCs w:val="18"/>
          <w:lang w:bidi="en-US"/>
        </w:rPr>
      </w:pPr>
      <w:r w:rsidRPr="006D61A8">
        <w:rPr>
          <w:rFonts w:ascii="Verdana" w:hAnsi="Verdana"/>
          <w:sz w:val="18"/>
          <w:szCs w:val="18"/>
          <w:lang w:bidi="en-US"/>
        </w:rPr>
        <w:t>Outline the pharmacology and mechanism of action of apixaban as a direct oral anticoagulant</w:t>
      </w:r>
    </w:p>
    <w:p w:rsidRPr="006D61A8" w:rsidR="006D61A8" w:rsidP="006D61A8" w:rsidRDefault="00EB6DCF" w14:paraId="3EBC3F25" w14:textId="77777777">
      <w:pPr>
        <w:numPr>
          <w:ilvl w:val="0"/>
          <w:numId w:val="34"/>
        </w:numPr>
        <w:spacing w:line="240" w:lineRule="auto"/>
        <w:rPr>
          <w:rFonts w:ascii="Verdana" w:hAnsi="Verdana"/>
          <w:sz w:val="18"/>
          <w:szCs w:val="18"/>
          <w:lang w:bidi="en-US"/>
        </w:rPr>
      </w:pPr>
      <w:r w:rsidRPr="00EB6DCF">
        <w:rPr>
          <w:rFonts w:ascii="Verdana" w:hAnsi="Verdana"/>
          <w:sz w:val="18"/>
          <w:szCs w:val="18"/>
          <w:lang w:bidi="en-US"/>
        </w:rPr>
        <w:t>Identify the clinical indications for initiating apixaban inpatients already on therapeutic anticoagulation and transitions from alternative IV and oral anticoagulants</w:t>
      </w:r>
    </w:p>
    <w:p w:rsidRPr="006D61A8" w:rsidR="006D61A8" w:rsidP="006D61A8" w:rsidRDefault="006D61A8" w14:paraId="0E56939E" w14:textId="77777777">
      <w:pPr>
        <w:numPr>
          <w:ilvl w:val="0"/>
          <w:numId w:val="34"/>
        </w:numPr>
        <w:spacing w:line="240" w:lineRule="auto"/>
        <w:rPr>
          <w:rFonts w:ascii="Verdana" w:hAnsi="Verdana"/>
          <w:sz w:val="18"/>
          <w:szCs w:val="18"/>
          <w:lang w:bidi="en-US"/>
        </w:rPr>
      </w:pPr>
      <w:r w:rsidRPr="006D61A8">
        <w:rPr>
          <w:rFonts w:ascii="Verdana" w:hAnsi="Verdana"/>
          <w:sz w:val="18"/>
          <w:szCs w:val="18"/>
        </w:rPr>
        <w:t>Identify updated guidelines and recommendations in the setting of antiplatelet bridging post-cardiac catheterization</w:t>
      </w:r>
    </w:p>
    <w:p w:rsidRPr="006D61A8" w:rsidR="00EB6DCF" w:rsidP="006D61A8" w:rsidRDefault="006D61A8" w14:paraId="23042823" w14:textId="1439F41C">
      <w:pPr>
        <w:numPr>
          <w:ilvl w:val="0"/>
          <w:numId w:val="34"/>
        </w:numPr>
        <w:spacing w:line="240" w:lineRule="auto"/>
        <w:rPr>
          <w:rFonts w:ascii="Verdana" w:hAnsi="Verdana"/>
          <w:sz w:val="18"/>
          <w:szCs w:val="18"/>
          <w:lang w:bidi="en-US"/>
        </w:rPr>
      </w:pPr>
      <w:r w:rsidRPr="006D61A8">
        <w:rPr>
          <w:rFonts w:ascii="Verdana" w:hAnsi="Verdana"/>
          <w:sz w:val="18"/>
          <w:szCs w:val="18"/>
        </w:rPr>
        <w:t>Outline and compare available pharmacologic agents in the setting of antiplatelet bridging post-cardiac catheterization</w:t>
      </w:r>
    </w:p>
    <w:p w:rsidRPr="006D61A8" w:rsidR="00F65EA8" w:rsidP="00EA7AE4" w:rsidRDefault="00F65EA8" w14:paraId="196CD146" w14:textId="6A92F66A">
      <w:pPr>
        <w:spacing w:line="240" w:lineRule="auto"/>
        <w:rPr>
          <w:rFonts w:ascii="Verdana" w:hAnsi="Verdana"/>
          <w:b/>
          <w:bCs/>
          <w:sz w:val="18"/>
          <w:szCs w:val="18"/>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6D61A8">
        <w:rPr>
          <w:rFonts w:ascii="Verdana" w:hAnsi="Verdana"/>
          <w:sz w:val="18"/>
          <w:szCs w:val="18"/>
        </w:rPr>
        <w:t xml:space="preserve">Advocate </w:t>
      </w:r>
      <w:r w:rsidRPr="006D61A8" w:rsidR="00D8590F">
        <w:rPr>
          <w:rFonts w:ascii="Verdana" w:hAnsi="Verdana"/>
          <w:sz w:val="18"/>
          <w:szCs w:val="18"/>
        </w:rPr>
        <w:t xml:space="preserve">Health </w:t>
      </w:r>
      <w:r w:rsidRPr="006D61A8">
        <w:rPr>
          <w:rFonts w:ascii="Verdana" w:hAnsi="Verdana"/>
          <w:sz w:val="18"/>
          <w:szCs w:val="18"/>
        </w:rPr>
        <w:t>Pharmacists</w:t>
      </w:r>
      <w:r w:rsidRPr="006D61A8" w:rsidR="00FB4480">
        <w:rPr>
          <w:rFonts w:ascii="Verdana" w:hAnsi="Verdana"/>
          <w:sz w:val="18"/>
          <w:szCs w:val="18"/>
        </w:rPr>
        <w:t>, Physicians, Nurses, and other interested healthcare professionals</w:t>
      </w:r>
    </w:p>
    <w:p w:rsidRPr="00EA0B70" w:rsidR="00031461" w:rsidP="000A797A" w:rsidRDefault="00BE1105" w14:paraId="36DA8BD7" w14:textId="48E655F1">
      <w:pPr>
        <w:spacing w:line="240" w:lineRule="auto"/>
        <w:rPr>
          <w:rFonts w:ascii="Verdana" w:hAnsi="Verdana"/>
          <w:b/>
          <w:bCs/>
          <w:sz w:val="18"/>
          <w:szCs w:val="18"/>
        </w:rPr>
      </w:pPr>
      <w:r w:rsidRPr="00EA0B70">
        <w:rPr>
          <w:rFonts w:ascii="Verdana" w:hAnsi="Verdana"/>
          <w:b/>
          <w:bCs/>
          <w:sz w:val="18"/>
          <w:szCs w:val="18"/>
        </w:rPr>
        <w:t xml:space="preserve">Link to </w:t>
      </w:r>
      <w:r w:rsidR="009E3C35">
        <w:rPr>
          <w:rFonts w:ascii="Verdana" w:hAnsi="Verdana"/>
          <w:b/>
          <w:bCs/>
          <w:sz w:val="18"/>
          <w:szCs w:val="18"/>
        </w:rPr>
        <w:t>Recorded</w:t>
      </w:r>
      <w:r w:rsidRPr="00EA0B70">
        <w:rPr>
          <w:rFonts w:ascii="Verdana" w:hAnsi="Verdana"/>
          <w:b/>
          <w:bCs/>
          <w:sz w:val="18"/>
          <w:szCs w:val="18"/>
        </w:rPr>
        <w:t xml:space="preserve"> Sessions</w:t>
      </w:r>
      <w:r w:rsidR="009E3C35">
        <w:rPr>
          <w:rFonts w:ascii="Verdana" w:hAnsi="Verdana"/>
          <w:b/>
          <w:bCs/>
          <w:sz w:val="18"/>
          <w:szCs w:val="18"/>
        </w:rPr>
        <w:t xml:space="preserve">: </w:t>
      </w:r>
      <w:hyperlink w:history="1" w:anchor="group-tabs-node-course-default1" r:id="rId12">
        <w:r w:rsidRPr="00CD3AA2" w:rsidR="00CD3AA2">
          <w:rPr>
            <w:rStyle w:val="Hyperlink"/>
            <w:rFonts w:ascii="Verdana" w:hAnsi="Verdana"/>
            <w:b/>
            <w:bCs/>
            <w:sz w:val="18"/>
            <w:szCs w:val="18"/>
          </w:rPr>
          <w:t>Pharmacy Grand Rounds Recorded Sessions</w:t>
        </w:r>
      </w:hyperlink>
    </w:p>
    <w:p w:rsidRPr="00EA0B70" w:rsidR="00F65EA8" w:rsidP="000A797A" w:rsidRDefault="00F65EA8" w14:paraId="7EA526BE" w14:textId="3BB8AD3B">
      <w:pPr>
        <w:spacing w:line="240" w:lineRule="auto"/>
        <w:rPr>
          <w:rFonts w:ascii="Verdana" w:hAnsi="Verdana"/>
          <w:b/>
          <w:bCs/>
          <w:sz w:val="18"/>
          <w:szCs w:val="18"/>
        </w:rPr>
      </w:pPr>
      <w:r w:rsidRPr="00EA0B70">
        <w:rPr>
          <w:rFonts w:ascii="Verdana" w:hAnsi="Verdana"/>
          <w:b/>
          <w:bCs/>
          <w:sz w:val="18"/>
          <w:szCs w:val="18"/>
        </w:rPr>
        <w:t>Disclosure:</w:t>
      </w:r>
      <w:r w:rsidRPr="00EA0B70">
        <w:rPr>
          <w:rFonts w:ascii="Arial" w:hAnsi="Arial" w:cs="Arial"/>
          <w:b/>
          <w:bCs/>
          <w:sz w:val="18"/>
          <w:szCs w:val="18"/>
        </w:rPr>
        <w:t>​</w:t>
      </w:r>
      <w:r w:rsidRPr="00EA0B70">
        <w:rPr>
          <w:rFonts w:ascii="Verdana" w:hAnsi="Verdana"/>
          <w:b/>
          <w:bCs/>
          <w:sz w:val="18"/>
          <w:szCs w:val="18"/>
        </w:rPr>
        <w:t xml:space="preserve"> </w:t>
      </w:r>
      <w:r w:rsidRPr="00EA0B70">
        <w:rPr>
          <w:rFonts w:ascii="Verdana" w:hAnsi="Verdana"/>
          <w:sz w:val="18"/>
          <w:szCs w:val="18"/>
        </w:rPr>
        <w:t>The planner(s) and speaker(s) have indicated that there are no relevant financial relationships with any ineligible companies to disclose.</w:t>
      </w:r>
      <w:r w:rsidRPr="00EA0B70">
        <w:rPr>
          <w:rFonts w:ascii="Verdana" w:hAnsi="Verdana"/>
          <w:b/>
          <w:bCs/>
          <w:sz w:val="18"/>
          <w:szCs w:val="18"/>
        </w:rPr>
        <w:t> </w:t>
      </w:r>
    </w:p>
    <w:p w:rsidRPr="00B75F57" w:rsidR="00900B72" w:rsidP="00F65EA8" w:rsidRDefault="00F65EA8" w14:paraId="23C08749" w14:textId="5237E445">
      <w:pPr>
        <w:spacing w:line="240" w:lineRule="auto"/>
        <w:rPr>
          <w:rFonts w:ascii="Verdana" w:hAnsi="Verdana"/>
          <w:sz w:val="18"/>
          <w:szCs w:val="18"/>
        </w:rPr>
      </w:pPr>
      <w:r w:rsidRPr="00B75F57">
        <w:rPr>
          <w:rFonts w:ascii="Verdana" w:hAnsi="Verdana"/>
          <w:b/>
          <w:bCs/>
          <w:sz w:val="18"/>
          <w:szCs w:val="18"/>
        </w:rPr>
        <w:t xml:space="preserve">Commercial Support: </w:t>
      </w:r>
      <w:r w:rsidRPr="00B75F57">
        <w:rPr>
          <w:rFonts w:ascii="Verdana" w:hAnsi="Verdana"/>
          <w:sz w:val="18"/>
          <w:szCs w:val="18"/>
        </w:rPr>
        <w:t>There is no financial support for th</w:t>
      </w:r>
      <w:r w:rsidRPr="00B75F57" w:rsidR="00D8590F">
        <w:rPr>
          <w:rFonts w:ascii="Verdana" w:hAnsi="Verdana"/>
          <w:sz w:val="18"/>
          <w:szCs w:val="18"/>
        </w:rPr>
        <w:t>is</w:t>
      </w:r>
      <w:r w:rsidRPr="00B75F57">
        <w:rPr>
          <w:rFonts w:ascii="Verdana" w:hAnsi="Verdana"/>
          <w:sz w:val="18"/>
          <w:szCs w:val="18"/>
        </w:rPr>
        <w:t xml:space="preserve"> activit</w:t>
      </w:r>
      <w:r w:rsidRPr="00B75F57" w:rsidR="00D8590F">
        <w:rPr>
          <w:rFonts w:ascii="Verdana" w:hAnsi="Verdana"/>
          <w:sz w:val="18"/>
          <w:szCs w:val="18"/>
        </w:rPr>
        <w:t>y</w:t>
      </w:r>
      <w:r w:rsidRPr="00B75F57">
        <w:rPr>
          <w:rFonts w:ascii="Verdana" w:hAnsi="Verdana"/>
          <w:sz w:val="18"/>
          <w:szCs w:val="18"/>
        </w:rPr>
        <w:t>.</w:t>
      </w:r>
    </w:p>
    <w:p w:rsidRPr="00EA0B70"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EA0B70">
        <w:rPr>
          <w:rStyle w:val="normaltextrun"/>
          <w:rFonts w:ascii="Verdana" w:hAnsi="Verdana" w:cstheme="minorHAnsi"/>
          <w:b/>
          <w:bCs/>
          <w:position w:val="-1"/>
          <w:sz w:val="18"/>
          <w:szCs w:val="18"/>
        </w:rPr>
        <w:t>Accreditation Statement</w:t>
      </w:r>
      <w:r w:rsidRPr="00EA0B70">
        <w:rPr>
          <w:rStyle w:val="eop"/>
          <w:rFonts w:ascii="Verdana" w:hAnsi="Verdana" w:cstheme="minorHAnsi"/>
          <w:sz w:val="18"/>
          <w:szCs w:val="18"/>
        </w:rPr>
        <w:t>:</w:t>
      </w:r>
    </w:p>
    <w:p w:rsidRPr="00EA0B70"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EA0B70" w:rsidR="000847D8" w:rsidTr="47A55E8E" w14:paraId="2B1D1D73" w14:textId="77777777">
        <w:tc>
          <w:tcPr>
            <w:tcW w:w="1838" w:type="dxa"/>
          </w:tcPr>
          <w:p w:rsidRPr="00EA0B70" w:rsidR="00E842EB" w:rsidP="000847D8" w:rsidRDefault="00E842EB" w14:paraId="2F8FB65E" w14:textId="64B1CEDD">
            <w:pPr>
              <w:textAlignment w:val="baseline"/>
              <w:rPr>
                <w:rFonts w:ascii="Verdana" w:hAnsi="Verdana" w:eastAsia="Times New Roman" w:cs="Univers 45 Light"/>
                <w:b/>
                <w:bCs/>
                <w:kern w:val="24"/>
                <w:sz w:val="18"/>
                <w:szCs w:val="18"/>
              </w:rPr>
            </w:pPr>
            <w:r w:rsidRPr="00EA0B70">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EA0B70" w:rsidR="00E842EB" w:rsidP="000847D8" w:rsidRDefault="00E842EB" w14:paraId="3753F650" w14:textId="6185D4D5">
            <w:pPr>
              <w:textAlignment w:val="baseline"/>
              <w:rPr>
                <w:rFonts w:ascii="Verdana" w:hAnsi="Verdana" w:eastAsia="Times New Roman" w:cs="Univers 45 Light"/>
                <w:b/>
                <w:bCs/>
                <w:kern w:val="24"/>
                <w:sz w:val="18"/>
                <w:szCs w:val="18"/>
              </w:rPr>
            </w:pPr>
            <w:r w:rsidRPr="00EA0B70">
              <w:rPr>
                <w:rFonts w:ascii="Verdana" w:hAnsi="Verdana" w:eastAsia="Times New Roman" w:cs="Univers 45 Light"/>
                <w:kern w:val="24"/>
                <w:sz w:val="18"/>
                <w:szCs w:val="18"/>
              </w:rPr>
              <w:t>In</w:t>
            </w:r>
            <w:r w:rsidRPr="00EA0B70">
              <w:rPr>
                <w:rFonts w:ascii="Verdana" w:hAnsi="Verdana" w:eastAsia="Times New Roman" w:cs="Univers 45 Light"/>
                <w:b/>
                <w:bCs/>
                <w:kern w:val="24"/>
                <w:sz w:val="18"/>
                <w:szCs w:val="18"/>
              </w:rPr>
              <w:t xml:space="preserve"> </w:t>
            </w:r>
            <w:r w:rsidRPr="00EA0B70">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EA0B70"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6D61A8" w:rsidR="00F65EA8" w:rsidP="000A797A" w:rsidRDefault="0087352F" w14:paraId="64D47D5F" w14:textId="56817C76">
      <w:pPr>
        <w:spacing w:line="240" w:lineRule="auto"/>
        <w:ind w:left="255"/>
        <w:textAlignment w:val="baseline"/>
        <w:rPr>
          <w:rFonts w:eastAsia="Times New Roman" w:cs="Segoe UI"/>
          <w:sz w:val="16"/>
          <w:szCs w:val="16"/>
        </w:rPr>
      </w:pPr>
      <w:r w:rsidRPr="006D61A8">
        <w:rPr>
          <w:rFonts w:ascii="Verdana" w:hAnsi="Verdana" w:eastAsia="Times New Roman" w:cs="Segoe UI"/>
          <w:b/>
          <w:bCs/>
          <w:sz w:val="16"/>
          <w:szCs w:val="16"/>
        </w:rPr>
        <w:t>Credit Statement(s): </w:t>
      </w:r>
    </w:p>
    <w:p w:rsidRPr="006D61A8" w:rsidR="009F2459" w:rsidP="009F2459" w:rsidRDefault="00D61C7F" w14:paraId="6D8CED07" w14:textId="2304657E">
      <w:pPr>
        <w:pStyle w:val="BodyText"/>
        <w:ind w:left="267"/>
        <w:rPr>
          <w:sz w:val="16"/>
          <w:szCs w:val="16"/>
        </w:rPr>
      </w:pPr>
      <w:r w:rsidRPr="006D61A8">
        <w:rPr>
          <w:b/>
          <w:bCs/>
          <w:sz w:val="16"/>
          <w:szCs w:val="16"/>
        </w:rPr>
        <w:t>Accreditation Council for Pharmacy Education (ACPE):</w:t>
      </w:r>
      <w:r w:rsidRPr="006D61A8">
        <w:rPr>
          <w:sz w:val="16"/>
          <w:szCs w:val="16"/>
        </w:rPr>
        <w:t xml:space="preserve"> </w:t>
      </w:r>
      <w:r w:rsidRPr="006D61A8" w:rsidR="000847D8">
        <w:rPr>
          <w:sz w:val="16"/>
          <w:szCs w:val="16"/>
        </w:rPr>
        <w:br/>
      </w:r>
      <w:r w:rsidRPr="006D61A8">
        <w:rPr>
          <w:sz w:val="16"/>
          <w:szCs w:val="16"/>
        </w:rPr>
        <w:t xml:space="preserve">Advocate Health designates this </w:t>
      </w:r>
      <w:r w:rsidR="00CD3AA2">
        <w:rPr>
          <w:sz w:val="16"/>
          <w:szCs w:val="16"/>
        </w:rPr>
        <w:t>enduring</w:t>
      </w:r>
      <w:r w:rsidRPr="006D61A8">
        <w:rPr>
          <w:sz w:val="16"/>
          <w:szCs w:val="16"/>
        </w:rPr>
        <w:t xml:space="preserve"> activity for a maximum of </w:t>
      </w:r>
      <w:r w:rsidRPr="006D61A8" w:rsidR="00F65EA8">
        <w:rPr>
          <w:sz w:val="16"/>
          <w:szCs w:val="16"/>
        </w:rPr>
        <w:t>1</w:t>
      </w:r>
      <w:r w:rsidRPr="006D61A8">
        <w:rPr>
          <w:sz w:val="16"/>
          <w:szCs w:val="16"/>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D61A8">
        <w:rPr>
          <w:spacing w:val="6"/>
          <w:sz w:val="16"/>
          <w:szCs w:val="16"/>
        </w:rPr>
        <w:t xml:space="preserve"> </w:t>
      </w:r>
      <w:r w:rsidRPr="006D61A8">
        <w:rPr>
          <w:sz w:val="16"/>
          <w:szCs w:val="16"/>
        </w:rPr>
        <w:t>activity.</w:t>
      </w:r>
      <w:r w:rsidRPr="006D61A8" w:rsidR="009F2459">
        <w:rPr>
          <w:sz w:val="16"/>
          <w:szCs w:val="16"/>
        </w:rPr>
        <w:t xml:space="preserve"> </w:t>
      </w:r>
    </w:p>
    <w:p w:rsidRPr="006D61A8" w:rsidR="00BF4185" w:rsidP="009F2459" w:rsidRDefault="00BF4185" w14:paraId="5EA3101D" w14:textId="77777777">
      <w:pPr>
        <w:pStyle w:val="BodyText"/>
        <w:ind w:left="267"/>
        <w:rPr>
          <w:sz w:val="16"/>
          <w:szCs w:val="16"/>
        </w:rPr>
      </w:pPr>
    </w:p>
    <w:p w:rsidRPr="00CD3AA2" w:rsidR="000A797A" w:rsidP="76503D23" w:rsidRDefault="006F3552" w14:paraId="61390B5F" w14:textId="483F75E7">
      <w:pPr>
        <w:pStyle w:val="BodyText"/>
        <w:ind w:left="267" w:right="214"/>
        <w:rPr>
          <w:noProof w:val="0"/>
          <w:lang w:val="en-US"/>
        </w:rPr>
      </w:pPr>
      <w:r w:rsidRPr="76503D23" w:rsidR="006F3552">
        <w:rPr>
          <w:b w:val="1"/>
          <w:bCs w:val="1"/>
          <w:sz w:val="16"/>
          <w:szCs w:val="16"/>
        </w:rPr>
        <w:t>UAN:</w:t>
      </w:r>
      <w:r w:rsidRPr="76503D23" w:rsidR="006F3552">
        <w:rPr>
          <w:sz w:val="16"/>
          <w:szCs w:val="16"/>
        </w:rPr>
        <w:t xml:space="preserve"> </w:t>
      </w:r>
      <w:r w:rsidRPr="76503D23" w:rsidR="320EBDF9">
        <w:rPr>
          <w:rFonts w:ascii="Open Sans" w:hAnsi="Open Sans" w:eastAsia="Open Sans" w:cs="Open Sans"/>
          <w:b w:val="0"/>
          <w:bCs w:val="0"/>
          <w:i w:val="0"/>
          <w:iCs w:val="0"/>
          <w:caps w:val="0"/>
          <w:smallCaps w:val="0"/>
          <w:noProof w:val="0"/>
          <w:color w:val="373737"/>
          <w:sz w:val="18"/>
          <w:szCs w:val="18"/>
          <w:lang w:val="en-US"/>
        </w:rPr>
        <w:t>JA0006327-0000-26-071-H01-P</w:t>
      </w:r>
    </w:p>
    <w:p w:rsidRPr="006D61A8" w:rsidR="006F3552" w:rsidP="00804367" w:rsidRDefault="006F3552" w14:paraId="0A7A1DBC" w14:textId="77777777">
      <w:pPr>
        <w:pStyle w:val="BodyText"/>
        <w:ind w:left="267" w:right="214"/>
        <w:rPr>
          <w:sz w:val="16"/>
          <w:szCs w:val="16"/>
        </w:rPr>
      </w:pPr>
    </w:p>
    <w:p w:rsidRPr="006D61A8" w:rsidR="00FB4480" w:rsidP="00FB4480" w:rsidRDefault="00FB4480" w14:paraId="1EBBE735" w14:textId="394F1808">
      <w:pPr>
        <w:pStyle w:val="BodyText"/>
        <w:ind w:left="267"/>
        <w:rPr>
          <w:sz w:val="16"/>
          <w:szCs w:val="16"/>
        </w:rPr>
      </w:pPr>
      <w:r w:rsidRPr="006D61A8">
        <w:rPr>
          <w:b/>
          <w:bCs/>
          <w:sz w:val="16"/>
          <w:szCs w:val="16"/>
        </w:rPr>
        <w:t>American Medical Association (AMA):</w:t>
      </w:r>
      <w:r w:rsidRPr="006D61A8">
        <w:rPr>
          <w:sz w:val="16"/>
          <w:szCs w:val="16"/>
        </w:rPr>
        <w:t xml:space="preserve"> Advocate Health designates this </w:t>
      </w:r>
      <w:r w:rsidR="00CD3AA2">
        <w:rPr>
          <w:sz w:val="16"/>
          <w:szCs w:val="16"/>
        </w:rPr>
        <w:t>enduring</w:t>
      </w:r>
      <w:r w:rsidRPr="006D61A8">
        <w:rPr>
          <w:sz w:val="16"/>
          <w:szCs w:val="16"/>
        </w:rPr>
        <w:t xml:space="preserve"> activity for a maximum </w:t>
      </w:r>
      <w:r w:rsidRPr="006D61A8" w:rsidR="00E45F59">
        <w:rPr>
          <w:sz w:val="16"/>
          <w:szCs w:val="16"/>
        </w:rPr>
        <w:t>of 1.0</w:t>
      </w:r>
      <w:r w:rsidRPr="006D61A8">
        <w:rPr>
          <w:sz w:val="16"/>
          <w:szCs w:val="16"/>
        </w:rPr>
        <w:t> </w:t>
      </w:r>
      <w:r w:rsidRPr="006D61A8">
        <w:rPr>
          <w:i/>
          <w:iCs/>
          <w:sz w:val="16"/>
          <w:szCs w:val="16"/>
        </w:rPr>
        <w:t>AMA PRA Category 1 Credits™</w:t>
      </w:r>
      <w:r w:rsidRPr="006D61A8">
        <w:rPr>
          <w:sz w:val="16"/>
          <w:szCs w:val="16"/>
        </w:rPr>
        <w:t>.  Physicians should claim only the credit commensurate with the extent of their participation in the activity. </w:t>
      </w:r>
    </w:p>
    <w:p w:rsidRPr="006D61A8" w:rsidR="000A797A" w:rsidP="00FB4480" w:rsidRDefault="000A797A" w14:paraId="24E3C3EA" w14:textId="77777777">
      <w:pPr>
        <w:pStyle w:val="BodyText"/>
        <w:ind w:left="267"/>
        <w:rPr>
          <w:sz w:val="16"/>
          <w:szCs w:val="16"/>
        </w:rPr>
      </w:pPr>
    </w:p>
    <w:p w:rsidRPr="006D61A8" w:rsidR="00F65EA8" w:rsidP="00B97706" w:rsidRDefault="00FB4480" w14:paraId="055E2158" w14:textId="4FAFD2A3">
      <w:pPr>
        <w:pStyle w:val="BodyText"/>
        <w:ind w:left="267"/>
        <w:rPr>
          <w:sz w:val="16"/>
          <w:szCs w:val="16"/>
        </w:rPr>
      </w:pPr>
      <w:r w:rsidRPr="006D61A8">
        <w:rPr>
          <w:b/>
          <w:bCs/>
          <w:sz w:val="16"/>
          <w:szCs w:val="16"/>
        </w:rPr>
        <w:t>American Nurses Credentialing Center (ANCC):</w:t>
      </w:r>
      <w:r w:rsidRPr="006D61A8">
        <w:rPr>
          <w:sz w:val="16"/>
          <w:szCs w:val="16"/>
        </w:rPr>
        <w:t xml:space="preserve"> Advocate Health designates this </w:t>
      </w:r>
      <w:r w:rsidR="00CD3AA2">
        <w:rPr>
          <w:sz w:val="16"/>
          <w:szCs w:val="16"/>
        </w:rPr>
        <w:t>enduring</w:t>
      </w:r>
      <w:r w:rsidRPr="006D61A8">
        <w:rPr>
          <w:sz w:val="16"/>
          <w:szCs w:val="16"/>
        </w:rPr>
        <w:t xml:space="preserve"> activity for a maximum of 1.0 ANCC contact hours/APRN pharmacological hours. Nurses should claim only the credit commensurate with the extent of their participation in the activity. </w:t>
      </w:r>
    </w:p>
    <w:p w:rsidRPr="00BF4185" w:rsidR="00BF4185" w:rsidP="00EA0B70" w:rsidRDefault="00C45F68" w14:paraId="53F409D9" w14:textId="1F096340">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3A09A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BF4185" w:rsidR="00BF4185" w:rsidSect="00A241B1">
      <w:footerReference w:type="default" r:id="rId15"/>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362" w:rsidP="00055B10" w:rsidRDefault="009A0362" w14:paraId="3A6DF72C" w14:textId="77777777">
      <w:pPr>
        <w:spacing w:after="0" w:line="240" w:lineRule="auto"/>
      </w:pPr>
      <w:r>
        <w:separator/>
      </w:r>
    </w:p>
  </w:endnote>
  <w:endnote w:type="continuationSeparator" w:id="0">
    <w:p w:rsidR="009A0362" w:rsidP="00055B10" w:rsidRDefault="009A0362" w14:paraId="2DD99F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551C019F">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362" w:rsidP="00055B10" w:rsidRDefault="009A0362" w14:paraId="782665C6" w14:textId="77777777">
      <w:pPr>
        <w:spacing w:after="0" w:line="240" w:lineRule="auto"/>
      </w:pPr>
      <w:r>
        <w:separator/>
      </w:r>
    </w:p>
  </w:footnote>
  <w:footnote w:type="continuationSeparator" w:id="0">
    <w:p w:rsidR="009A0362" w:rsidP="00055B10" w:rsidRDefault="009A0362" w14:paraId="562A519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EFC241F"/>
    <w:multiLevelType w:val="hybridMultilevel"/>
    <w:tmpl w:val="1E04C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0C3046"/>
    <w:multiLevelType w:val="hybridMultilevel"/>
    <w:tmpl w:val="6A92EF06"/>
    <w:lvl w:ilvl="0" w:tplc="6208430E">
      <w:start w:val="1"/>
      <w:numFmt w:val="decimal"/>
      <w:lvlText w:val="%1."/>
      <w:lvlJc w:val="left"/>
      <w:pPr>
        <w:ind w:left="825" w:hanging="360"/>
        <w:jc w:val="left"/>
      </w:pPr>
      <w:rPr>
        <w:rFonts w:ascii="Verdana" w:hAnsi="Verdana" w:eastAsiaTheme="minorHAnsi" w:cstheme="minorBidi"/>
        <w:color w:val="auto"/>
        <w:spacing w:val="-3"/>
        <w:w w:val="100"/>
        <w:sz w:val="20"/>
        <w:szCs w:val="20"/>
        <w:lang w:val="en-US" w:eastAsia="en-US" w:bidi="en-US"/>
      </w:rPr>
    </w:lvl>
    <w:lvl w:ilvl="1" w:tplc="83E8C43E">
      <w:numFmt w:val="bullet"/>
      <w:lvlText w:val="•"/>
      <w:lvlJc w:val="left"/>
      <w:pPr>
        <w:ind w:left="1846" w:hanging="360"/>
      </w:pPr>
      <w:rPr>
        <w:rFonts w:hint="default"/>
        <w:lang w:val="en-US" w:eastAsia="en-US" w:bidi="en-US"/>
      </w:rPr>
    </w:lvl>
    <w:lvl w:ilvl="2" w:tplc="0A2C7686">
      <w:numFmt w:val="bullet"/>
      <w:lvlText w:val="•"/>
      <w:lvlJc w:val="left"/>
      <w:pPr>
        <w:ind w:left="2873" w:hanging="360"/>
      </w:pPr>
      <w:rPr>
        <w:rFonts w:hint="default"/>
        <w:lang w:val="en-US" w:eastAsia="en-US" w:bidi="en-US"/>
      </w:rPr>
    </w:lvl>
    <w:lvl w:ilvl="3" w:tplc="5474587C">
      <w:numFmt w:val="bullet"/>
      <w:lvlText w:val="•"/>
      <w:lvlJc w:val="left"/>
      <w:pPr>
        <w:ind w:left="3900" w:hanging="360"/>
      </w:pPr>
      <w:rPr>
        <w:rFonts w:hint="default"/>
        <w:lang w:val="en-US" w:eastAsia="en-US" w:bidi="en-US"/>
      </w:rPr>
    </w:lvl>
    <w:lvl w:ilvl="4" w:tplc="E5302454">
      <w:numFmt w:val="bullet"/>
      <w:lvlText w:val="•"/>
      <w:lvlJc w:val="left"/>
      <w:pPr>
        <w:ind w:left="4927" w:hanging="360"/>
      </w:pPr>
      <w:rPr>
        <w:rFonts w:hint="default"/>
        <w:lang w:val="en-US" w:eastAsia="en-US" w:bidi="en-US"/>
      </w:rPr>
    </w:lvl>
    <w:lvl w:ilvl="5" w:tplc="0B52955E">
      <w:numFmt w:val="bullet"/>
      <w:lvlText w:val="•"/>
      <w:lvlJc w:val="left"/>
      <w:pPr>
        <w:ind w:left="5954" w:hanging="360"/>
      </w:pPr>
      <w:rPr>
        <w:rFonts w:hint="default"/>
        <w:lang w:val="en-US" w:eastAsia="en-US" w:bidi="en-US"/>
      </w:rPr>
    </w:lvl>
    <w:lvl w:ilvl="6" w:tplc="ABE870D2">
      <w:numFmt w:val="bullet"/>
      <w:lvlText w:val="•"/>
      <w:lvlJc w:val="left"/>
      <w:pPr>
        <w:ind w:left="6981" w:hanging="360"/>
      </w:pPr>
      <w:rPr>
        <w:rFonts w:hint="default"/>
        <w:lang w:val="en-US" w:eastAsia="en-US" w:bidi="en-US"/>
      </w:rPr>
    </w:lvl>
    <w:lvl w:ilvl="7" w:tplc="A476CB34">
      <w:numFmt w:val="bullet"/>
      <w:lvlText w:val="•"/>
      <w:lvlJc w:val="left"/>
      <w:pPr>
        <w:ind w:left="8008" w:hanging="360"/>
      </w:pPr>
      <w:rPr>
        <w:rFonts w:hint="default"/>
        <w:lang w:val="en-US" w:eastAsia="en-US" w:bidi="en-US"/>
      </w:rPr>
    </w:lvl>
    <w:lvl w:ilvl="8" w:tplc="FE326E3E">
      <w:numFmt w:val="bullet"/>
      <w:lvlText w:val="•"/>
      <w:lvlJc w:val="left"/>
      <w:pPr>
        <w:ind w:left="9035" w:hanging="360"/>
      </w:pPr>
      <w:rPr>
        <w:rFonts w:hint="default"/>
        <w:lang w:val="en-US" w:eastAsia="en-US" w:bidi="en-US"/>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0"/>
  </w:num>
  <w:num w:numId="2" w16cid:durableId="161354219">
    <w:abstractNumId w:val="11"/>
  </w:num>
  <w:num w:numId="3" w16cid:durableId="367529949">
    <w:abstractNumId w:val="18"/>
  </w:num>
  <w:num w:numId="4" w16cid:durableId="2113237724">
    <w:abstractNumId w:val="1"/>
  </w:num>
  <w:num w:numId="5" w16cid:durableId="1420172599">
    <w:abstractNumId w:val="3"/>
  </w:num>
  <w:num w:numId="6" w16cid:durableId="1278486410">
    <w:abstractNumId w:val="6"/>
  </w:num>
  <w:num w:numId="7" w16cid:durableId="1918974587">
    <w:abstractNumId w:val="29"/>
  </w:num>
  <w:num w:numId="8" w16cid:durableId="1066414557">
    <w:abstractNumId w:val="13"/>
  </w:num>
  <w:num w:numId="9" w16cid:durableId="1662925891">
    <w:abstractNumId w:val="24"/>
  </w:num>
  <w:num w:numId="10" w16cid:durableId="678048633">
    <w:abstractNumId w:val="28"/>
  </w:num>
  <w:num w:numId="11" w16cid:durableId="1710643530">
    <w:abstractNumId w:val="17"/>
  </w:num>
  <w:num w:numId="12" w16cid:durableId="1014963863">
    <w:abstractNumId w:val="21"/>
  </w:num>
  <w:num w:numId="13" w16cid:durableId="1855924810">
    <w:abstractNumId w:val="27"/>
  </w:num>
  <w:num w:numId="14" w16cid:durableId="1070882303">
    <w:abstractNumId w:val="25"/>
  </w:num>
  <w:num w:numId="15" w16cid:durableId="1279794217">
    <w:abstractNumId w:val="2"/>
  </w:num>
  <w:num w:numId="16" w16cid:durableId="1450009621">
    <w:abstractNumId w:val="23"/>
  </w:num>
  <w:num w:numId="17" w16cid:durableId="1366834961">
    <w:abstractNumId w:val="26"/>
  </w:num>
  <w:num w:numId="18" w16cid:durableId="1591280853">
    <w:abstractNumId w:val="33"/>
  </w:num>
  <w:num w:numId="19" w16cid:durableId="1209731318">
    <w:abstractNumId w:val="31"/>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2"/>
  </w:num>
  <w:num w:numId="25" w16cid:durableId="1797025421">
    <w:abstractNumId w:val="8"/>
  </w:num>
  <w:num w:numId="26" w16cid:durableId="333345465">
    <w:abstractNumId w:val="30"/>
  </w:num>
  <w:num w:numId="27" w16cid:durableId="1804930468">
    <w:abstractNumId w:val="0"/>
  </w:num>
  <w:num w:numId="28" w16cid:durableId="1922979966">
    <w:abstractNumId w:val="16"/>
  </w:num>
  <w:num w:numId="29" w16cid:durableId="279337811">
    <w:abstractNumId w:val="9"/>
  </w:num>
  <w:num w:numId="30" w16cid:durableId="2000035843">
    <w:abstractNumId w:val="22"/>
  </w:num>
  <w:num w:numId="31" w16cid:durableId="568999410">
    <w:abstractNumId w:val="12"/>
  </w:num>
  <w:num w:numId="32" w16cid:durableId="215509822">
    <w:abstractNumId w:val="7"/>
  </w:num>
  <w:num w:numId="33" w16cid:durableId="2142840170">
    <w:abstractNumId w:val="15"/>
  </w:num>
  <w:num w:numId="34" w16cid:durableId="2528643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1461"/>
    <w:rsid w:val="00032355"/>
    <w:rsid w:val="000441DA"/>
    <w:rsid w:val="00046D2B"/>
    <w:rsid w:val="00055B10"/>
    <w:rsid w:val="00056376"/>
    <w:rsid w:val="00077413"/>
    <w:rsid w:val="000847D8"/>
    <w:rsid w:val="000A23CA"/>
    <w:rsid w:val="000A2A61"/>
    <w:rsid w:val="000A695F"/>
    <w:rsid w:val="000A797A"/>
    <w:rsid w:val="000B4458"/>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41EB2"/>
    <w:rsid w:val="00252416"/>
    <w:rsid w:val="00276778"/>
    <w:rsid w:val="00280C90"/>
    <w:rsid w:val="002A0DB3"/>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B3F2F"/>
    <w:rsid w:val="003D00E1"/>
    <w:rsid w:val="003D0265"/>
    <w:rsid w:val="003D08D5"/>
    <w:rsid w:val="003D37EF"/>
    <w:rsid w:val="003E51CF"/>
    <w:rsid w:val="003F074C"/>
    <w:rsid w:val="0040296F"/>
    <w:rsid w:val="00406851"/>
    <w:rsid w:val="00416BF9"/>
    <w:rsid w:val="00417068"/>
    <w:rsid w:val="00430AF0"/>
    <w:rsid w:val="00434450"/>
    <w:rsid w:val="00446663"/>
    <w:rsid w:val="00446FFE"/>
    <w:rsid w:val="00451F9C"/>
    <w:rsid w:val="00460863"/>
    <w:rsid w:val="00463271"/>
    <w:rsid w:val="00473534"/>
    <w:rsid w:val="00482FC7"/>
    <w:rsid w:val="004942A3"/>
    <w:rsid w:val="004A4AA1"/>
    <w:rsid w:val="004C7395"/>
    <w:rsid w:val="004D0FF0"/>
    <w:rsid w:val="004D18CF"/>
    <w:rsid w:val="004E1183"/>
    <w:rsid w:val="0050083B"/>
    <w:rsid w:val="005117E0"/>
    <w:rsid w:val="00565174"/>
    <w:rsid w:val="00567102"/>
    <w:rsid w:val="005721B0"/>
    <w:rsid w:val="005773FC"/>
    <w:rsid w:val="00585244"/>
    <w:rsid w:val="005B551C"/>
    <w:rsid w:val="005C089E"/>
    <w:rsid w:val="005C315D"/>
    <w:rsid w:val="005D7647"/>
    <w:rsid w:val="005E13F2"/>
    <w:rsid w:val="005E1D1C"/>
    <w:rsid w:val="005E7E36"/>
    <w:rsid w:val="005F32CC"/>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D61A8"/>
    <w:rsid w:val="006E5BF1"/>
    <w:rsid w:val="006F0193"/>
    <w:rsid w:val="006F2CB3"/>
    <w:rsid w:val="006F3552"/>
    <w:rsid w:val="006F75ED"/>
    <w:rsid w:val="00703E29"/>
    <w:rsid w:val="007346C8"/>
    <w:rsid w:val="00743969"/>
    <w:rsid w:val="0076528C"/>
    <w:rsid w:val="0077571D"/>
    <w:rsid w:val="00790717"/>
    <w:rsid w:val="007A0DDD"/>
    <w:rsid w:val="007A5373"/>
    <w:rsid w:val="007B12B8"/>
    <w:rsid w:val="007C306F"/>
    <w:rsid w:val="007D39C6"/>
    <w:rsid w:val="007F6EAA"/>
    <w:rsid w:val="00804367"/>
    <w:rsid w:val="008053D0"/>
    <w:rsid w:val="0080720D"/>
    <w:rsid w:val="008160DB"/>
    <w:rsid w:val="00823428"/>
    <w:rsid w:val="00824E25"/>
    <w:rsid w:val="00831F59"/>
    <w:rsid w:val="008323E9"/>
    <w:rsid w:val="0083370B"/>
    <w:rsid w:val="008430D8"/>
    <w:rsid w:val="00850C97"/>
    <w:rsid w:val="0087352F"/>
    <w:rsid w:val="00874037"/>
    <w:rsid w:val="008832A2"/>
    <w:rsid w:val="0088366A"/>
    <w:rsid w:val="008911DB"/>
    <w:rsid w:val="008A2311"/>
    <w:rsid w:val="008B49B6"/>
    <w:rsid w:val="008B4E02"/>
    <w:rsid w:val="008B5743"/>
    <w:rsid w:val="008D004F"/>
    <w:rsid w:val="009005E8"/>
    <w:rsid w:val="00900B72"/>
    <w:rsid w:val="00906F4C"/>
    <w:rsid w:val="00914EB6"/>
    <w:rsid w:val="00944023"/>
    <w:rsid w:val="00947E67"/>
    <w:rsid w:val="00955A2A"/>
    <w:rsid w:val="00964945"/>
    <w:rsid w:val="00992B0D"/>
    <w:rsid w:val="009A0362"/>
    <w:rsid w:val="009A7D4E"/>
    <w:rsid w:val="009C0BC6"/>
    <w:rsid w:val="009D65D9"/>
    <w:rsid w:val="009E10D1"/>
    <w:rsid w:val="009E3C35"/>
    <w:rsid w:val="009F008B"/>
    <w:rsid w:val="009F2459"/>
    <w:rsid w:val="009F694F"/>
    <w:rsid w:val="00A12DA0"/>
    <w:rsid w:val="00A241B1"/>
    <w:rsid w:val="00A26E52"/>
    <w:rsid w:val="00A31E5B"/>
    <w:rsid w:val="00A47804"/>
    <w:rsid w:val="00A610E7"/>
    <w:rsid w:val="00A73D52"/>
    <w:rsid w:val="00A76075"/>
    <w:rsid w:val="00A771A6"/>
    <w:rsid w:val="00A95B39"/>
    <w:rsid w:val="00AB1AF9"/>
    <w:rsid w:val="00AE337A"/>
    <w:rsid w:val="00AE4CAD"/>
    <w:rsid w:val="00AF7D9A"/>
    <w:rsid w:val="00B03201"/>
    <w:rsid w:val="00B03F7B"/>
    <w:rsid w:val="00B1760F"/>
    <w:rsid w:val="00B2291F"/>
    <w:rsid w:val="00B45C82"/>
    <w:rsid w:val="00B4607E"/>
    <w:rsid w:val="00B50CE9"/>
    <w:rsid w:val="00B5431E"/>
    <w:rsid w:val="00B621ED"/>
    <w:rsid w:val="00B70108"/>
    <w:rsid w:val="00B74888"/>
    <w:rsid w:val="00B75520"/>
    <w:rsid w:val="00B75F57"/>
    <w:rsid w:val="00B81ACD"/>
    <w:rsid w:val="00B83945"/>
    <w:rsid w:val="00B84456"/>
    <w:rsid w:val="00B97676"/>
    <w:rsid w:val="00B97706"/>
    <w:rsid w:val="00BB31ED"/>
    <w:rsid w:val="00BB63B9"/>
    <w:rsid w:val="00BD5170"/>
    <w:rsid w:val="00BD6B07"/>
    <w:rsid w:val="00BE1105"/>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B0B5B"/>
    <w:rsid w:val="00CD1372"/>
    <w:rsid w:val="00CD3AA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45F59"/>
    <w:rsid w:val="00E5477E"/>
    <w:rsid w:val="00E563E6"/>
    <w:rsid w:val="00E65EC0"/>
    <w:rsid w:val="00E70BD7"/>
    <w:rsid w:val="00E74B71"/>
    <w:rsid w:val="00E74FC8"/>
    <w:rsid w:val="00E81A15"/>
    <w:rsid w:val="00E842EB"/>
    <w:rsid w:val="00E965A0"/>
    <w:rsid w:val="00EA0B70"/>
    <w:rsid w:val="00EA0C61"/>
    <w:rsid w:val="00EA679F"/>
    <w:rsid w:val="00EA7AE4"/>
    <w:rsid w:val="00EB63F4"/>
    <w:rsid w:val="00EB6DCF"/>
    <w:rsid w:val="00EC18D4"/>
    <w:rsid w:val="00EE05F1"/>
    <w:rsid w:val="00EE4ECF"/>
    <w:rsid w:val="00EF393A"/>
    <w:rsid w:val="00F140DD"/>
    <w:rsid w:val="00F21AA6"/>
    <w:rsid w:val="00F34810"/>
    <w:rsid w:val="00F40DF0"/>
    <w:rsid w:val="00F4143A"/>
    <w:rsid w:val="00F623EC"/>
    <w:rsid w:val="00F65EA8"/>
    <w:rsid w:val="00F674A0"/>
    <w:rsid w:val="00F7094E"/>
    <w:rsid w:val="00F73EC7"/>
    <w:rsid w:val="00F8679F"/>
    <w:rsid w:val="00F91FA9"/>
    <w:rsid w:val="00FA02DB"/>
    <w:rsid w:val="00FA52C5"/>
    <w:rsid w:val="00FB182E"/>
    <w:rsid w:val="00FB23ED"/>
    <w:rsid w:val="00FB3EDE"/>
    <w:rsid w:val="00FB4480"/>
    <w:rsid w:val="00FC0B4E"/>
    <w:rsid w:val="00FC0D60"/>
    <w:rsid w:val="00FD59A1"/>
    <w:rsid w:val="00FE4608"/>
    <w:rsid w:val="00FF34D8"/>
    <w:rsid w:val="0225046F"/>
    <w:rsid w:val="13DA015A"/>
    <w:rsid w:val="15E966A7"/>
    <w:rsid w:val="16687112"/>
    <w:rsid w:val="20EFEEEF"/>
    <w:rsid w:val="24FA8CA7"/>
    <w:rsid w:val="24FD1519"/>
    <w:rsid w:val="25E66214"/>
    <w:rsid w:val="26638A87"/>
    <w:rsid w:val="2D06F36F"/>
    <w:rsid w:val="2F37A001"/>
    <w:rsid w:val="320EBDF9"/>
    <w:rsid w:val="3468A303"/>
    <w:rsid w:val="393B49DD"/>
    <w:rsid w:val="393C1426"/>
    <w:rsid w:val="3A914B1D"/>
    <w:rsid w:val="3C73B4E8"/>
    <w:rsid w:val="47A55E8E"/>
    <w:rsid w:val="47CD63D6"/>
    <w:rsid w:val="509C140A"/>
    <w:rsid w:val="53875249"/>
    <w:rsid w:val="6B5C5F6D"/>
    <w:rsid w:val="761DC01C"/>
    <w:rsid w:val="76503D23"/>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No</Test>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94ED5E20-45BF-41EA-B70D-35B403C8B35E}"/>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6</revision>
  <dcterms:created xsi:type="dcterms:W3CDTF">2026-01-14T20:59:00.0000000Z</dcterms:created>
  <dcterms:modified xsi:type="dcterms:W3CDTF">2026-03-23T01:56:57.3459103Z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