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4E08" w:rsidP="00304E08" w:rsidRDefault="00304E08" w14:paraId="59F1E1B8" w14:textId="77777777">
                            <w:pPr>
                              <w:spacing w:after="0" w:line="240" w:lineRule="auto"/>
                              <w:ind w:left="720" w:hanging="720"/>
                              <w:jc w:val="center"/>
                              <w:rPr>
                                <w:rFonts w:eastAsia="Verdana" w:cstheme="minorHAnsi"/>
                                <w:sz w:val="36"/>
                                <w:szCs w:val="36"/>
                                <w:lang w:bidi="en-US"/>
                              </w:rPr>
                            </w:pPr>
                            <w:bookmarkStart w:name="_Hlk129337215" w:id="0"/>
                            <w:r w:rsidRPr="00304E08">
                              <w:rPr>
                                <w:rFonts w:eastAsia="Verdana" w:cstheme="minorHAnsi"/>
                                <w:sz w:val="36"/>
                                <w:szCs w:val="36"/>
                                <w:lang w:bidi="en-US"/>
                              </w:rPr>
                              <w:t>DDI-</w:t>
                            </w:r>
                            <w:proofErr w:type="spellStart"/>
                            <w:r w:rsidRPr="00304E08">
                              <w:rPr>
                                <w:rFonts w:eastAsia="Verdana" w:cstheme="minorHAnsi"/>
                                <w:sz w:val="36"/>
                                <w:szCs w:val="36"/>
                                <w:lang w:bidi="en-US"/>
                              </w:rPr>
                              <w:t>fficult</w:t>
                            </w:r>
                            <w:proofErr w:type="spellEnd"/>
                            <w:r w:rsidRPr="00304E08">
                              <w:rPr>
                                <w:rFonts w:eastAsia="Verdana" w:cstheme="minorHAnsi"/>
                                <w:sz w:val="36"/>
                                <w:szCs w:val="36"/>
                                <w:lang w:bidi="en-US"/>
                              </w:rPr>
                              <w:t xml:space="preserve"> Decisions: Navigating Drug Interactions </w:t>
                            </w:r>
                          </w:p>
                          <w:p w:rsidR="00304E08" w:rsidP="00304E08" w:rsidRDefault="00304E08" w14:paraId="375DBA9F" w14:textId="77777777">
                            <w:pPr>
                              <w:spacing w:after="0" w:line="240" w:lineRule="auto"/>
                              <w:ind w:left="720" w:hanging="720"/>
                              <w:jc w:val="center"/>
                              <w:rPr>
                                <w:rFonts w:eastAsia="Verdana" w:cstheme="minorHAnsi"/>
                                <w:sz w:val="36"/>
                                <w:szCs w:val="36"/>
                                <w:lang w:bidi="en-US"/>
                              </w:rPr>
                            </w:pPr>
                            <w:r w:rsidRPr="00304E08">
                              <w:rPr>
                                <w:rFonts w:eastAsia="Verdana" w:cstheme="minorHAnsi"/>
                                <w:sz w:val="36"/>
                                <w:szCs w:val="36"/>
                                <w:lang w:bidi="en-US"/>
                              </w:rPr>
                              <w:t>in Oral Oncology Regimens</w:t>
                            </w:r>
                          </w:p>
                          <w:p w:rsidRPr="00FD1D64" w:rsidR="00FD1D64" w:rsidP="00FD1D64" w:rsidRDefault="00FD1D64" w14:paraId="08C88EC6" w14:textId="77777777">
                            <w:pPr>
                              <w:spacing w:after="0" w:line="240" w:lineRule="auto"/>
                              <w:ind w:left="720" w:hanging="720"/>
                              <w:jc w:val="center"/>
                              <w:rPr>
                                <w:sz w:val="24"/>
                                <w:szCs w:val="24"/>
                              </w:rPr>
                            </w:pPr>
                            <w:r w:rsidRPr="00FD1D64">
                              <w:rPr>
                                <w:sz w:val="24"/>
                                <w:szCs w:val="24"/>
                              </w:rPr>
                              <w:t>For CPE Credit: Recorded Session on Advocate Health CE Platform</w:t>
                            </w:r>
                          </w:p>
                          <w:p w:rsidRPr="00FD1D64" w:rsidR="00FD1D64" w:rsidP="00FD1D64" w:rsidRDefault="00FD1D64" w14:paraId="1119F03D" w14:textId="20DE6376">
                            <w:pPr>
                              <w:spacing w:after="0" w:line="240" w:lineRule="auto"/>
                              <w:ind w:left="720" w:hanging="720"/>
                              <w:jc w:val="center"/>
                              <w:rPr>
                                <w:sz w:val="24"/>
                                <w:szCs w:val="24"/>
                              </w:rPr>
                            </w:pPr>
                            <w:r w:rsidRPr="00FD1D64">
                              <w:rPr>
                                <w:sz w:val="24"/>
                                <w:szCs w:val="24"/>
                              </w:rPr>
                              <w:t xml:space="preserve">From </w:t>
                            </w:r>
                            <w:r>
                              <w:rPr>
                                <w:sz w:val="24"/>
                                <w:szCs w:val="24"/>
                              </w:rPr>
                              <w:t>2/26/26-2/26/27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00304E08" w:rsidP="00304E08" w:rsidRDefault="00304E08" w14:paraId="59F1E1B8" w14:textId="77777777">
                      <w:pPr>
                        <w:spacing w:after="0" w:line="240" w:lineRule="auto"/>
                        <w:ind w:left="720" w:hanging="720"/>
                        <w:jc w:val="center"/>
                        <w:rPr>
                          <w:rFonts w:eastAsia="Verdana" w:cstheme="minorHAnsi"/>
                          <w:sz w:val="36"/>
                          <w:szCs w:val="36"/>
                          <w:lang w:bidi="en-US"/>
                        </w:rPr>
                      </w:pPr>
                      <w:r w:rsidRPr="00304E08">
                        <w:rPr>
                          <w:rFonts w:eastAsia="Verdana" w:cstheme="minorHAnsi"/>
                          <w:sz w:val="36"/>
                          <w:szCs w:val="36"/>
                          <w:lang w:bidi="en-US"/>
                        </w:rPr>
                        <w:t>DDI-</w:t>
                      </w:r>
                      <w:proofErr w:type="spellStart"/>
                      <w:r w:rsidRPr="00304E08">
                        <w:rPr>
                          <w:rFonts w:eastAsia="Verdana" w:cstheme="minorHAnsi"/>
                          <w:sz w:val="36"/>
                          <w:szCs w:val="36"/>
                          <w:lang w:bidi="en-US"/>
                        </w:rPr>
                        <w:t>fficult</w:t>
                      </w:r>
                      <w:proofErr w:type="spellEnd"/>
                      <w:r w:rsidRPr="00304E08">
                        <w:rPr>
                          <w:rFonts w:eastAsia="Verdana" w:cstheme="minorHAnsi"/>
                          <w:sz w:val="36"/>
                          <w:szCs w:val="36"/>
                          <w:lang w:bidi="en-US"/>
                        </w:rPr>
                        <w:t xml:space="preserve"> Decisions: Navigating Drug Interactions </w:t>
                      </w:r>
                    </w:p>
                    <w:p w:rsidR="00304E08" w:rsidP="00304E08" w:rsidRDefault="00304E08" w14:paraId="375DBA9F" w14:textId="77777777">
                      <w:pPr>
                        <w:spacing w:after="0" w:line="240" w:lineRule="auto"/>
                        <w:ind w:left="720" w:hanging="720"/>
                        <w:jc w:val="center"/>
                        <w:rPr>
                          <w:rFonts w:eastAsia="Verdana" w:cstheme="minorHAnsi"/>
                          <w:sz w:val="36"/>
                          <w:szCs w:val="36"/>
                          <w:lang w:bidi="en-US"/>
                        </w:rPr>
                      </w:pPr>
                      <w:r w:rsidRPr="00304E08">
                        <w:rPr>
                          <w:rFonts w:eastAsia="Verdana" w:cstheme="minorHAnsi"/>
                          <w:sz w:val="36"/>
                          <w:szCs w:val="36"/>
                          <w:lang w:bidi="en-US"/>
                        </w:rPr>
                        <w:t>in Oral Oncology Regimens</w:t>
                      </w:r>
                    </w:p>
                    <w:p w:rsidRPr="00FD1D64" w:rsidR="00FD1D64" w:rsidP="00FD1D64" w:rsidRDefault="00FD1D64" w14:paraId="08C88EC6" w14:textId="77777777">
                      <w:pPr>
                        <w:spacing w:after="0" w:line="240" w:lineRule="auto"/>
                        <w:ind w:left="720" w:hanging="720"/>
                        <w:jc w:val="center"/>
                        <w:rPr>
                          <w:sz w:val="24"/>
                          <w:szCs w:val="24"/>
                        </w:rPr>
                      </w:pPr>
                      <w:r w:rsidRPr="00FD1D64">
                        <w:rPr>
                          <w:sz w:val="24"/>
                          <w:szCs w:val="24"/>
                        </w:rPr>
                        <w:t>For CPE Credit: Recorded Session on Advocate Health CE Platform</w:t>
                      </w:r>
                    </w:p>
                    <w:p w:rsidRPr="00FD1D64" w:rsidR="00FD1D64" w:rsidP="00FD1D64" w:rsidRDefault="00FD1D64" w14:paraId="1119F03D" w14:textId="20DE6376">
                      <w:pPr>
                        <w:spacing w:after="0" w:line="240" w:lineRule="auto"/>
                        <w:ind w:left="720" w:hanging="720"/>
                        <w:jc w:val="center"/>
                        <w:rPr>
                          <w:sz w:val="24"/>
                          <w:szCs w:val="24"/>
                        </w:rPr>
                      </w:pPr>
                      <w:r w:rsidRPr="00FD1D64">
                        <w:rPr>
                          <w:sz w:val="24"/>
                          <w:szCs w:val="24"/>
                        </w:rPr>
                        <w:t xml:space="preserve">From </w:t>
                      </w:r>
                      <w:r>
                        <w:rPr>
                          <w:sz w:val="24"/>
                          <w:szCs w:val="24"/>
                        </w:rPr>
                        <w:t>2/26/26-2/26/27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5D2E95" w:rsidR="0065650A" w:rsidP="00EB63F4" w:rsidRDefault="00F65EA8" w14:paraId="444F96E4" w14:textId="2B6AE00C">
      <w:pPr>
        <w:pStyle w:val="BodyText"/>
        <w:spacing w:before="2" w:line="249" w:lineRule="auto"/>
        <w:ind w:right="216"/>
        <w:rPr>
          <w:sz w:val="18"/>
          <w:szCs w:val="18"/>
        </w:rPr>
      </w:pPr>
      <w:r w:rsidRPr="005D2E95">
        <w:rPr>
          <w:b/>
          <w:bCs/>
          <w:sz w:val="18"/>
          <w:szCs w:val="18"/>
        </w:rPr>
        <w:t xml:space="preserve">Overview: </w:t>
      </w:r>
      <w:r w:rsidRPr="005D2E95" w:rsidR="004B43F1">
        <w:rPr>
          <w:sz w:val="18"/>
          <w:szCs w:val="18"/>
        </w:rPr>
        <w:t>This continuing education course will cover the clinically significant drug–drug interactions (DDIs) associated with oral anticancer therapies. The presentation will cover potential adverse effects of DDIs and examine key interaction pathways, including those involving CYP3A4 inhibitors and inducers, gastric acid–suppressing agents, and medications that prolong the QT interval. Strategies for identifying, preventing, and managing these interactions will be discussed to help ensure patient safety and maintain optimal therapeutic efficacy.</w:t>
      </w:r>
    </w:p>
    <w:p w:rsidRPr="005D2E95" w:rsidR="00D354ED" w:rsidP="00EB63F4" w:rsidRDefault="00D354ED" w14:paraId="5D6078F1" w14:textId="77777777">
      <w:pPr>
        <w:pStyle w:val="BodyText"/>
        <w:spacing w:before="2" w:line="249" w:lineRule="auto"/>
        <w:ind w:right="216"/>
        <w:rPr>
          <w:sz w:val="18"/>
          <w:szCs w:val="18"/>
        </w:rPr>
      </w:pPr>
    </w:p>
    <w:p w:rsidRPr="005D2E95" w:rsidR="00C40E29" w:rsidP="00C40E29" w:rsidRDefault="00F65EA8" w14:paraId="656129DD" w14:textId="77777777">
      <w:pPr>
        <w:pStyle w:val="BodyText"/>
        <w:spacing w:line="227" w:lineRule="exact"/>
        <w:rPr>
          <w:rFonts w:eastAsia="Times New Roman" w:cs="Times New Roman"/>
          <w:color w:val="000000" w:themeColor="text1"/>
          <w:sz w:val="18"/>
          <w:szCs w:val="18"/>
        </w:rPr>
      </w:pPr>
      <w:r w:rsidRPr="005D2E95">
        <w:rPr>
          <w:b/>
          <w:bCs/>
          <w:sz w:val="18"/>
          <w:szCs w:val="18"/>
        </w:rPr>
        <w:t>Speaker: </w:t>
      </w:r>
      <w:r w:rsidRPr="005D2E95" w:rsidR="47CD63D6">
        <w:rPr>
          <w:rFonts w:eastAsia="Times New Roman" w:cs="Times New Roman"/>
          <w:color w:val="000000" w:themeColor="text1"/>
          <w:sz w:val="18"/>
          <w:szCs w:val="18"/>
        </w:rPr>
        <w:t xml:space="preserve"> </w:t>
      </w:r>
      <w:r w:rsidRPr="005D2E95" w:rsidR="00C40E29">
        <w:rPr>
          <w:rFonts w:eastAsia="Times New Roman" w:cs="Times New Roman"/>
          <w:color w:val="000000" w:themeColor="text1"/>
          <w:sz w:val="18"/>
          <w:szCs w:val="18"/>
        </w:rPr>
        <w:t>Sandi Thein Sein, PharmD, PGY2 Oncology Pharmacy Resident – Aurora St. Luke's Medical Center</w:t>
      </w:r>
    </w:p>
    <w:p w:rsidRPr="005D2E95" w:rsidR="00322A54" w:rsidP="00322A54" w:rsidRDefault="00322A54" w14:paraId="2F1FB2F7" w14:textId="77777777">
      <w:pPr>
        <w:pStyle w:val="BodyText"/>
        <w:spacing w:line="227" w:lineRule="exact"/>
        <w:rPr>
          <w:b/>
          <w:bCs/>
          <w:sz w:val="18"/>
          <w:szCs w:val="18"/>
        </w:rPr>
      </w:pPr>
    </w:p>
    <w:p w:rsidRPr="005D2E95" w:rsidR="00577EE5" w:rsidP="00577EE5" w:rsidRDefault="00B45C82" w14:paraId="7D319029" w14:textId="239E566D">
      <w:pPr>
        <w:rPr>
          <w:rFonts w:ascii="Verdana" w:hAnsi="Verdana"/>
          <w:sz w:val="18"/>
          <w:szCs w:val="18"/>
        </w:rPr>
      </w:pPr>
      <w:r w:rsidRPr="005D2E95">
        <w:rPr>
          <w:rFonts w:ascii="Verdana" w:hAnsi="Verdana"/>
          <w:b/>
          <w:bCs/>
          <w:sz w:val="18"/>
          <w:szCs w:val="18"/>
        </w:rPr>
        <w:t>Preceptor</w:t>
      </w:r>
      <w:r w:rsidRPr="005D2E95" w:rsidR="00E33C13">
        <w:rPr>
          <w:rFonts w:ascii="Verdana" w:hAnsi="Verdana"/>
          <w:b/>
          <w:bCs/>
          <w:sz w:val="18"/>
          <w:szCs w:val="18"/>
        </w:rPr>
        <w:t>s</w:t>
      </w:r>
      <w:r w:rsidRPr="005D2E95">
        <w:rPr>
          <w:rFonts w:ascii="Verdana" w:hAnsi="Verdana"/>
          <w:b/>
          <w:bCs/>
          <w:sz w:val="18"/>
          <w:szCs w:val="18"/>
        </w:rPr>
        <w:t>:</w:t>
      </w:r>
      <w:r w:rsidRPr="005D2E95" w:rsidR="00DF46F1">
        <w:rPr>
          <w:rFonts w:ascii="Verdana" w:hAnsi="Verdana"/>
          <w:b/>
          <w:bCs/>
          <w:sz w:val="18"/>
          <w:szCs w:val="18"/>
        </w:rPr>
        <w:t xml:space="preserve"> </w:t>
      </w:r>
      <w:r w:rsidRPr="005D2E95" w:rsidR="00E33C13">
        <w:rPr>
          <w:rFonts w:ascii="Verdana" w:hAnsi="Verdana"/>
          <w:sz w:val="18"/>
          <w:szCs w:val="18"/>
        </w:rPr>
        <w:t xml:space="preserve">Cara Boticki, PharmD, BCOP; </w:t>
      </w:r>
      <w:r w:rsidRPr="005D2E95" w:rsidR="001C77D6">
        <w:rPr>
          <w:rFonts w:ascii="Verdana" w:hAnsi="Verdana"/>
          <w:sz w:val="18"/>
          <w:szCs w:val="18"/>
        </w:rPr>
        <w:t>Laura Poggi, PharmD, BCOP</w:t>
      </w:r>
    </w:p>
    <w:p w:rsidRPr="005D2E95" w:rsidR="00F65EA8" w:rsidP="00577EE5" w:rsidRDefault="00F65EA8" w14:paraId="055EF5BB" w14:textId="71745D91">
      <w:pPr>
        <w:rPr>
          <w:rFonts w:ascii="Verdana" w:hAnsi="Verdana"/>
          <w:b/>
          <w:bCs/>
          <w:sz w:val="18"/>
          <w:szCs w:val="18"/>
        </w:rPr>
      </w:pPr>
      <w:r w:rsidRPr="005D2E95">
        <w:rPr>
          <w:rFonts w:ascii="Verdana" w:hAnsi="Verdana"/>
          <w:b/>
          <w:bCs/>
          <w:sz w:val="18"/>
          <w:szCs w:val="18"/>
        </w:rPr>
        <w:t xml:space="preserve">Objectives: </w:t>
      </w:r>
      <w:r w:rsidRPr="005D2E95">
        <w:rPr>
          <w:rFonts w:ascii="Arial" w:hAnsi="Arial" w:cs="Arial"/>
          <w:b/>
          <w:bCs/>
          <w:sz w:val="18"/>
          <w:szCs w:val="18"/>
        </w:rPr>
        <w:t>​​</w:t>
      </w:r>
    </w:p>
    <w:p w:rsidRPr="00DA106D" w:rsidR="00DA106D" w:rsidP="00DA106D" w:rsidRDefault="00DA106D" w14:paraId="1A30AFEC" w14:textId="18FCBF18">
      <w:pPr>
        <w:spacing w:line="240" w:lineRule="auto"/>
        <w:rPr>
          <w:rFonts w:ascii="Verdana" w:hAnsi="Verdana"/>
          <w:sz w:val="18"/>
          <w:szCs w:val="18"/>
        </w:rPr>
      </w:pPr>
      <w:r w:rsidRPr="005D2E95">
        <w:rPr>
          <w:rFonts w:ascii="Verdana" w:hAnsi="Verdana"/>
          <w:sz w:val="18"/>
          <w:szCs w:val="18"/>
        </w:rPr>
        <w:t xml:space="preserve">1. </w:t>
      </w:r>
      <w:r w:rsidRPr="00DA106D">
        <w:rPr>
          <w:rFonts w:ascii="Verdana" w:hAnsi="Verdana"/>
          <w:sz w:val="18"/>
          <w:szCs w:val="18"/>
        </w:rPr>
        <w:t>Identify oral oncology agents with high drug–drug interaction (DDI) risk and describe the key pharmacokinetic and pharmacodynamic mechanisms that contribute to potential interaction.</w:t>
      </w:r>
    </w:p>
    <w:p w:rsidRPr="00DA106D" w:rsidR="00DA106D" w:rsidP="00DA106D" w:rsidRDefault="00DA106D" w14:paraId="58D9B897" w14:textId="77777777">
      <w:pPr>
        <w:spacing w:line="240" w:lineRule="auto"/>
        <w:rPr>
          <w:rFonts w:ascii="Verdana" w:hAnsi="Verdana"/>
          <w:sz w:val="18"/>
          <w:szCs w:val="18"/>
        </w:rPr>
      </w:pPr>
      <w:r w:rsidRPr="00DA106D">
        <w:rPr>
          <w:rFonts w:ascii="Verdana" w:hAnsi="Verdana"/>
          <w:sz w:val="18"/>
          <w:szCs w:val="18"/>
        </w:rPr>
        <w:t>2. Explain how drug interactions involving CYP3A4 inhibitors and inducers influence clinical outcomes.</w:t>
      </w:r>
    </w:p>
    <w:p w:rsidRPr="00DA106D" w:rsidR="00DA106D" w:rsidP="00DA106D" w:rsidRDefault="00DA106D" w14:paraId="338B5A1D" w14:textId="77777777">
      <w:pPr>
        <w:spacing w:line="240" w:lineRule="auto"/>
        <w:rPr>
          <w:rFonts w:ascii="Verdana" w:hAnsi="Verdana"/>
          <w:sz w:val="18"/>
          <w:szCs w:val="18"/>
        </w:rPr>
      </w:pPr>
      <w:r w:rsidRPr="00DA106D">
        <w:rPr>
          <w:rFonts w:ascii="Verdana" w:hAnsi="Verdana"/>
          <w:sz w:val="18"/>
          <w:szCs w:val="18"/>
        </w:rPr>
        <w:t>3. Describe the ways acid-suppressing agents interact with oral chemotherapy therapies and summarize considerations for management.</w:t>
      </w:r>
    </w:p>
    <w:p w:rsidRPr="005D2E95" w:rsidR="00DA106D" w:rsidP="00DA106D" w:rsidRDefault="00DA106D" w14:paraId="175D5911" w14:textId="77777777">
      <w:pPr>
        <w:spacing w:line="240" w:lineRule="auto"/>
        <w:rPr>
          <w:rFonts w:ascii="Verdana" w:hAnsi="Verdana"/>
          <w:sz w:val="18"/>
          <w:szCs w:val="18"/>
        </w:rPr>
      </w:pPr>
      <w:r w:rsidRPr="005D2E95">
        <w:rPr>
          <w:rFonts w:ascii="Verdana" w:hAnsi="Verdana"/>
          <w:sz w:val="18"/>
          <w:szCs w:val="18"/>
        </w:rPr>
        <w:t>4. Explain how QT-prolonging agents interact with oral chemotherapy and outline key principles to monitor and prevent QTc prolongation.</w:t>
      </w:r>
    </w:p>
    <w:p w:rsidRPr="005D2E95" w:rsidR="00F65EA8" w:rsidP="00DA106D" w:rsidRDefault="00F65EA8" w14:paraId="196CD146" w14:textId="333BC766">
      <w:pPr>
        <w:spacing w:line="240" w:lineRule="auto"/>
        <w:rPr>
          <w:rFonts w:ascii="Verdana" w:hAnsi="Verdana"/>
          <w:sz w:val="18"/>
          <w:szCs w:val="18"/>
        </w:rPr>
      </w:pPr>
      <w:r w:rsidRPr="005D2E95">
        <w:rPr>
          <w:rFonts w:ascii="Verdana" w:hAnsi="Verdana"/>
          <w:b/>
          <w:bCs/>
          <w:sz w:val="18"/>
          <w:szCs w:val="18"/>
        </w:rPr>
        <w:t>Target Audience:</w:t>
      </w:r>
      <w:r w:rsidRPr="005D2E95">
        <w:rPr>
          <w:rFonts w:ascii="Arial" w:hAnsi="Arial" w:cs="Arial"/>
          <w:b/>
          <w:bCs/>
          <w:sz w:val="18"/>
          <w:szCs w:val="18"/>
        </w:rPr>
        <w:t>​</w:t>
      </w:r>
      <w:r w:rsidRPr="005D2E95">
        <w:rPr>
          <w:rFonts w:ascii="Verdana" w:hAnsi="Verdana"/>
          <w:b/>
          <w:bCs/>
          <w:sz w:val="18"/>
          <w:szCs w:val="18"/>
        </w:rPr>
        <w:t xml:space="preserve"> </w:t>
      </w:r>
      <w:r w:rsidRPr="005D2E95">
        <w:rPr>
          <w:rFonts w:ascii="Verdana" w:hAnsi="Verdana"/>
          <w:sz w:val="18"/>
          <w:szCs w:val="18"/>
        </w:rPr>
        <w:t xml:space="preserve">Advocate </w:t>
      </w:r>
      <w:r w:rsidRPr="005D2E95" w:rsidR="00D8590F">
        <w:rPr>
          <w:rFonts w:ascii="Verdana" w:hAnsi="Verdana"/>
          <w:sz w:val="18"/>
          <w:szCs w:val="18"/>
        </w:rPr>
        <w:t xml:space="preserve">Health </w:t>
      </w:r>
      <w:r w:rsidRPr="005D2E95">
        <w:rPr>
          <w:rFonts w:ascii="Verdana" w:hAnsi="Verdana"/>
          <w:sz w:val="18"/>
          <w:szCs w:val="18"/>
        </w:rPr>
        <w:t>Pharmacists</w:t>
      </w:r>
      <w:r w:rsidRPr="005D2E95" w:rsidR="00FB4480">
        <w:rPr>
          <w:rFonts w:ascii="Verdana" w:hAnsi="Verdana"/>
          <w:sz w:val="18"/>
          <w:szCs w:val="18"/>
        </w:rPr>
        <w:t>, Physicians, Nurses, and other interested healthcare professionals</w:t>
      </w:r>
    </w:p>
    <w:p w:rsidRPr="001E2561" w:rsidR="001E2561" w:rsidP="001E2561" w:rsidRDefault="00F65EA8" w14:paraId="438E7EBC" w14:textId="77777777">
      <w:pPr>
        <w:spacing w:line="240" w:lineRule="auto"/>
        <w:rPr>
          <w:rFonts w:ascii="Verdana" w:hAnsi="Verdana"/>
          <w:b/>
          <w:bCs/>
          <w:sz w:val="18"/>
          <w:szCs w:val="18"/>
        </w:rPr>
      </w:pPr>
      <w:r w:rsidRPr="005D2E95">
        <w:rPr>
          <w:rFonts w:ascii="Verdana" w:hAnsi="Verdana"/>
          <w:b/>
          <w:bCs/>
          <w:sz w:val="18"/>
          <w:szCs w:val="18"/>
        </w:rPr>
        <w:t>Disclosure:</w:t>
      </w:r>
      <w:r w:rsidRPr="005D2E95">
        <w:rPr>
          <w:rFonts w:ascii="Arial" w:hAnsi="Arial" w:cs="Arial"/>
          <w:b/>
          <w:bCs/>
          <w:sz w:val="18"/>
          <w:szCs w:val="18"/>
        </w:rPr>
        <w:t>​</w:t>
      </w:r>
      <w:r w:rsidRPr="005D2E95">
        <w:rPr>
          <w:rFonts w:ascii="Verdana" w:hAnsi="Verdana"/>
          <w:b/>
          <w:bCs/>
          <w:sz w:val="18"/>
          <w:szCs w:val="18"/>
        </w:rPr>
        <w:t xml:space="preserve"> </w:t>
      </w:r>
      <w:r w:rsidRPr="001E2561" w:rsidR="001E2561">
        <w:rPr>
          <w:rFonts w:ascii="Verdana" w:hAnsi="Verdana"/>
          <w:sz w:val="18"/>
          <w:szCs w:val="18"/>
        </w:rPr>
        <w:t xml:space="preserve">Alex Wolff, Bristol Myers Squibb, Advisory Board, ended 9/25/25; </w:t>
      </w:r>
      <w:proofErr w:type="spellStart"/>
      <w:r w:rsidRPr="001E2561" w:rsidR="001E2561">
        <w:rPr>
          <w:rFonts w:ascii="Verdana" w:hAnsi="Verdana"/>
          <w:sz w:val="18"/>
          <w:szCs w:val="18"/>
        </w:rPr>
        <w:t>Syndax</w:t>
      </w:r>
      <w:proofErr w:type="spellEnd"/>
      <w:r w:rsidRPr="001E2561" w:rsidR="001E2561">
        <w:rPr>
          <w:rFonts w:ascii="Verdana" w:hAnsi="Verdana"/>
          <w:sz w:val="18"/>
          <w:szCs w:val="18"/>
        </w:rPr>
        <w:t xml:space="preserve"> Pharmaceuticals, Advisory Board, ended 4/8/25; the other planner(s) and speaker(s) have indicated that there are no relevant financial relationships with any ineligible companies to disclose.</w:t>
      </w:r>
      <w:r w:rsidRPr="001E2561" w:rsidR="001E2561">
        <w:rPr>
          <w:rFonts w:ascii="Verdana" w:hAnsi="Verdana"/>
          <w:b/>
          <w:bCs/>
          <w:sz w:val="18"/>
          <w:szCs w:val="18"/>
        </w:rPr>
        <w:t> </w:t>
      </w:r>
    </w:p>
    <w:p w:rsidRPr="00317858" w:rsidR="00395AE5" w:rsidP="00F65EA8" w:rsidRDefault="004765D5" w14:paraId="42F14A4B" w14:textId="6F87754E">
      <w:pPr>
        <w:spacing w:line="240" w:lineRule="auto"/>
        <w:rPr>
          <w:rFonts w:ascii="Verdana" w:hAnsi="Verdana"/>
          <w:b/>
          <w:bCs/>
          <w:sz w:val="18"/>
          <w:szCs w:val="18"/>
        </w:rPr>
      </w:pPr>
      <w:r w:rsidRPr="005D2E95">
        <w:rPr>
          <w:rFonts w:ascii="Verdana" w:hAnsi="Verdana"/>
          <w:b/>
          <w:bCs/>
          <w:sz w:val="18"/>
          <w:szCs w:val="18"/>
        </w:rPr>
        <w:t xml:space="preserve">Link to </w:t>
      </w:r>
      <w:r w:rsidR="0076386D">
        <w:rPr>
          <w:rFonts w:ascii="Verdana" w:hAnsi="Verdana"/>
          <w:b/>
          <w:bCs/>
          <w:sz w:val="18"/>
          <w:szCs w:val="18"/>
        </w:rPr>
        <w:t>Recorded</w:t>
      </w:r>
      <w:r w:rsidRPr="005D2E95" w:rsidR="00395AE5">
        <w:rPr>
          <w:rFonts w:ascii="Verdana" w:hAnsi="Verdana"/>
          <w:b/>
          <w:bCs/>
          <w:sz w:val="18"/>
          <w:szCs w:val="18"/>
        </w:rPr>
        <w:t xml:space="preserve"> </w:t>
      </w:r>
      <w:r w:rsidRPr="005D2E95" w:rsidR="00134739">
        <w:rPr>
          <w:rFonts w:ascii="Verdana" w:hAnsi="Verdana"/>
          <w:b/>
          <w:bCs/>
          <w:sz w:val="18"/>
          <w:szCs w:val="18"/>
        </w:rPr>
        <w:t>S</w:t>
      </w:r>
      <w:r w:rsidRPr="005D2E95" w:rsidR="00395AE5">
        <w:rPr>
          <w:rFonts w:ascii="Verdana" w:hAnsi="Verdana"/>
          <w:b/>
          <w:bCs/>
          <w:sz w:val="18"/>
          <w:szCs w:val="18"/>
        </w:rPr>
        <w:t xml:space="preserve">essions: </w:t>
      </w:r>
      <w:hyperlink w:history="1" w:anchor="group-tabs-node-course-default2" r:id="rId12">
        <w:r w:rsidRPr="00317858" w:rsidR="00395AE5">
          <w:rPr>
            <w:rStyle w:val="Hyperlink"/>
            <w:rFonts w:ascii="Verdana" w:hAnsi="Verdana"/>
            <w:color w:val="auto"/>
            <w:sz w:val="18"/>
            <w:szCs w:val="18"/>
          </w:rPr>
          <w:t xml:space="preserve">Pharmacy Grand Rounds </w:t>
        </w:r>
        <w:r w:rsidRPr="00317858" w:rsidR="0076386D">
          <w:rPr>
            <w:rStyle w:val="Hyperlink"/>
            <w:rFonts w:ascii="Verdana" w:hAnsi="Verdana"/>
            <w:color w:val="auto"/>
            <w:sz w:val="18"/>
            <w:szCs w:val="18"/>
          </w:rPr>
          <w:t>Recorded Sessions</w:t>
        </w:r>
      </w:hyperlink>
    </w:p>
    <w:p w:rsidRPr="005D2E95" w:rsidR="00900B72" w:rsidP="00F65EA8" w:rsidRDefault="00F65EA8" w14:paraId="23C08749" w14:textId="77E90EFF">
      <w:pPr>
        <w:spacing w:line="240" w:lineRule="auto"/>
        <w:rPr>
          <w:rFonts w:ascii="Verdana" w:hAnsi="Verdana"/>
          <w:sz w:val="18"/>
          <w:szCs w:val="18"/>
        </w:rPr>
      </w:pPr>
      <w:r w:rsidRPr="005D2E95">
        <w:rPr>
          <w:rFonts w:ascii="Verdana" w:hAnsi="Verdana"/>
          <w:b/>
          <w:bCs/>
          <w:sz w:val="18"/>
          <w:szCs w:val="18"/>
        </w:rPr>
        <w:t xml:space="preserve">Commercial Support: </w:t>
      </w:r>
      <w:r w:rsidRPr="005D2E95">
        <w:rPr>
          <w:rFonts w:ascii="Verdana" w:hAnsi="Verdana"/>
          <w:sz w:val="18"/>
          <w:szCs w:val="18"/>
        </w:rPr>
        <w:t>There is no financial support for th</w:t>
      </w:r>
      <w:r w:rsidRPr="005D2E95" w:rsidR="00D8590F">
        <w:rPr>
          <w:rFonts w:ascii="Verdana" w:hAnsi="Verdana"/>
          <w:sz w:val="18"/>
          <w:szCs w:val="18"/>
        </w:rPr>
        <w:t>is</w:t>
      </w:r>
      <w:r w:rsidRPr="005D2E95">
        <w:rPr>
          <w:rFonts w:ascii="Verdana" w:hAnsi="Verdana"/>
          <w:sz w:val="18"/>
          <w:szCs w:val="18"/>
        </w:rPr>
        <w:t xml:space="preserve"> activit</w:t>
      </w:r>
      <w:r w:rsidRPr="005D2E95" w:rsidR="00D8590F">
        <w:rPr>
          <w:rFonts w:ascii="Verdana" w:hAnsi="Verdana"/>
          <w:sz w:val="18"/>
          <w:szCs w:val="18"/>
        </w:rPr>
        <w:t>y</w:t>
      </w:r>
      <w:r w:rsidRPr="005D2E95">
        <w:rPr>
          <w:rFonts w:ascii="Verdana" w:hAnsi="Verdana"/>
          <w:sz w:val="18"/>
          <w:szCs w:val="18"/>
        </w:rPr>
        <w:t>.</w:t>
      </w:r>
    </w:p>
    <w:p w:rsidRPr="005D2E95"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5D2E95">
        <w:rPr>
          <w:rStyle w:val="normaltextrun"/>
          <w:rFonts w:ascii="Verdana" w:hAnsi="Verdana" w:cstheme="minorHAnsi"/>
          <w:b/>
          <w:bCs/>
          <w:position w:val="-1"/>
          <w:sz w:val="18"/>
          <w:szCs w:val="18"/>
        </w:rPr>
        <w:t>Accreditation Statement</w:t>
      </w:r>
      <w:r w:rsidRPr="005D2E95">
        <w:rPr>
          <w:rStyle w:val="eop"/>
          <w:rFonts w:ascii="Verdana" w:hAnsi="Verdana" w:cstheme="minorHAnsi"/>
          <w:sz w:val="18"/>
          <w:szCs w:val="18"/>
        </w:rPr>
        <w:t>:</w:t>
      </w:r>
    </w:p>
    <w:p w:rsidRPr="005D2E95"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5D2E95" w:rsidR="000847D8" w:rsidTr="47A55E8E" w14:paraId="2B1D1D73" w14:textId="77777777">
        <w:tc>
          <w:tcPr>
            <w:tcW w:w="1838" w:type="dxa"/>
          </w:tcPr>
          <w:p w:rsidRPr="005D2E95" w:rsidR="00E842EB" w:rsidP="000847D8" w:rsidRDefault="00E842EB" w14:paraId="2F8FB65E" w14:textId="64B1CEDD">
            <w:pPr>
              <w:textAlignment w:val="baseline"/>
              <w:rPr>
                <w:rFonts w:ascii="Verdana" w:hAnsi="Verdana" w:eastAsia="Times New Roman" w:cs="Univers 45 Light"/>
                <w:b/>
                <w:bCs/>
                <w:kern w:val="24"/>
                <w:sz w:val="18"/>
                <w:szCs w:val="18"/>
              </w:rPr>
            </w:pPr>
            <w:r w:rsidRPr="005D2E95">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5D2E95" w:rsidR="00E842EB" w:rsidP="000847D8" w:rsidRDefault="00E842EB" w14:paraId="3753F650" w14:textId="6185D4D5">
            <w:pPr>
              <w:textAlignment w:val="baseline"/>
              <w:rPr>
                <w:rFonts w:ascii="Verdana" w:hAnsi="Verdana" w:eastAsia="Times New Roman" w:cs="Univers 45 Light"/>
                <w:b/>
                <w:bCs/>
                <w:kern w:val="24"/>
                <w:sz w:val="18"/>
                <w:szCs w:val="18"/>
              </w:rPr>
            </w:pPr>
            <w:r w:rsidRPr="005D2E95">
              <w:rPr>
                <w:rFonts w:ascii="Verdana" w:hAnsi="Verdana" w:eastAsia="Times New Roman" w:cs="Univers 45 Light"/>
                <w:kern w:val="24"/>
                <w:sz w:val="18"/>
                <w:szCs w:val="18"/>
              </w:rPr>
              <w:t>In</w:t>
            </w:r>
            <w:r w:rsidRPr="005D2E95">
              <w:rPr>
                <w:rFonts w:ascii="Verdana" w:hAnsi="Verdana" w:eastAsia="Times New Roman" w:cs="Univers 45 Light"/>
                <w:b/>
                <w:bCs/>
                <w:kern w:val="24"/>
                <w:sz w:val="18"/>
                <w:szCs w:val="18"/>
              </w:rPr>
              <w:t xml:space="preserve"> </w:t>
            </w:r>
            <w:r w:rsidRPr="005D2E95">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5D2E95"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1E2561" w:rsidR="00F65EA8" w:rsidP="000A797A" w:rsidRDefault="0087352F" w14:paraId="64D47D5F" w14:textId="56817C76">
      <w:pPr>
        <w:spacing w:line="240" w:lineRule="auto"/>
        <w:ind w:left="255"/>
        <w:textAlignment w:val="baseline"/>
        <w:rPr>
          <w:rFonts w:ascii="Verdana" w:hAnsi="Verdana" w:eastAsia="Times New Roman" w:cs="Segoe UI"/>
          <w:sz w:val="16"/>
          <w:szCs w:val="16"/>
        </w:rPr>
      </w:pPr>
      <w:r w:rsidRPr="001E2561">
        <w:rPr>
          <w:rFonts w:ascii="Verdana" w:hAnsi="Verdana" w:eastAsia="Times New Roman" w:cs="Segoe UI"/>
          <w:b/>
          <w:bCs/>
          <w:sz w:val="16"/>
          <w:szCs w:val="16"/>
        </w:rPr>
        <w:t>Credit Statement(s): </w:t>
      </w:r>
    </w:p>
    <w:p w:rsidRPr="001E2561" w:rsidR="009F2459" w:rsidP="009F2459" w:rsidRDefault="00D61C7F" w14:paraId="6D8CED07" w14:textId="4E593C7A">
      <w:pPr>
        <w:pStyle w:val="BodyText"/>
        <w:ind w:left="267"/>
        <w:rPr>
          <w:sz w:val="16"/>
          <w:szCs w:val="16"/>
        </w:rPr>
      </w:pPr>
      <w:r w:rsidRPr="001E2561" w:rsidR="00D61C7F">
        <w:rPr>
          <w:b w:val="1"/>
          <w:bCs w:val="1"/>
          <w:sz w:val="16"/>
          <w:szCs w:val="16"/>
        </w:rPr>
        <w:t>Accreditation Council for Pharmacy Education (ACPE):</w:t>
      </w:r>
      <w:r w:rsidRPr="001E2561" w:rsidR="00D61C7F">
        <w:rPr>
          <w:sz w:val="16"/>
          <w:szCs w:val="16"/>
        </w:rPr>
        <w:t xml:space="preserve"> </w:t>
      </w:r>
      <w:r w:rsidRPr="001E2561" w:rsidR="000847D8">
        <w:rPr>
          <w:sz w:val="16"/>
          <w:szCs w:val="16"/>
        </w:rPr>
        <w:br/>
      </w:r>
      <w:r w:rsidRPr="001E2561" w:rsidR="00D61C7F">
        <w:rPr>
          <w:sz w:val="16"/>
          <w:szCs w:val="16"/>
        </w:rPr>
        <w:t xml:space="preserve">Advocate Health designates this </w:t>
      </w:r>
      <w:r w:rsidRPr="001E2561" w:rsidR="00AA0EDE">
        <w:rPr>
          <w:sz w:val="16"/>
          <w:szCs w:val="16"/>
        </w:rPr>
        <w:t>enduring</w:t>
      </w:r>
      <w:r w:rsidRPr="001E2561" w:rsidR="00D61C7F">
        <w:rPr>
          <w:sz w:val="16"/>
          <w:szCs w:val="16"/>
        </w:rPr>
        <w:t xml:space="preserve"> activity for a maximum of </w:t>
      </w:r>
      <w:r w:rsidRPr="001E2561" w:rsidR="00F65EA8">
        <w:rPr>
          <w:sz w:val="16"/>
          <w:szCs w:val="16"/>
        </w:rPr>
        <w:t>1</w:t>
      </w:r>
      <w:r w:rsidRPr="001E2561" w:rsidR="00D61C7F">
        <w:rPr>
          <w:sz w:val="16"/>
          <w:szCs w:val="16"/>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1E2561" w:rsidR="00D61C7F">
        <w:rPr>
          <w:spacing w:val="6"/>
          <w:sz w:val="16"/>
          <w:szCs w:val="16"/>
        </w:rPr>
        <w:t xml:space="preserve"> </w:t>
      </w:r>
      <w:r w:rsidRPr="001E2561" w:rsidR="00D61C7F">
        <w:rPr>
          <w:sz w:val="16"/>
          <w:szCs w:val="16"/>
        </w:rPr>
        <w:t>activity.</w:t>
      </w:r>
      <w:r w:rsidRPr="001E2561" w:rsidR="009F2459">
        <w:rPr>
          <w:sz w:val="16"/>
          <w:szCs w:val="16"/>
        </w:rPr>
        <w:t xml:space="preserve"> </w:t>
      </w:r>
    </w:p>
    <w:p w:rsidR="607D27E6" w:rsidP="75985B9A" w:rsidRDefault="607D27E6" w14:paraId="0FB6597E" w14:textId="6CD7C0A2">
      <w:pPr>
        <w:pStyle w:val="Normal"/>
        <w:ind w:firstLine="267"/>
        <w:rPr>
          <w:rFonts w:ascii="Calibri" w:hAnsi="Calibri" w:eastAsia="Calibri" w:cs="Calibri"/>
          <w:noProof w:val="0"/>
          <w:sz w:val="22"/>
          <w:szCs w:val="22"/>
          <w:lang w:val="en-US"/>
        </w:rPr>
      </w:pPr>
      <w:r w:rsidRPr="75985B9A" w:rsidR="607D27E6">
        <w:rPr>
          <w:noProof w:val="0"/>
          <w:lang w:val="en-US"/>
        </w:rPr>
        <w:t>UAN</w:t>
      </w:r>
      <w:r w:rsidRPr="75985B9A" w:rsidR="034970A4">
        <w:rPr>
          <w:noProof w:val="0"/>
          <w:lang w:val="en-US"/>
        </w:rPr>
        <w:t xml:space="preserve">: </w:t>
      </w:r>
      <w:r w:rsidRPr="75985B9A" w:rsidR="034970A4">
        <w:rPr>
          <w:rFonts w:ascii="Open Sans" w:hAnsi="Open Sans" w:eastAsia="Open Sans" w:cs="Open Sans"/>
          <w:b w:val="0"/>
          <w:bCs w:val="0"/>
          <w:i w:val="0"/>
          <w:iCs w:val="0"/>
          <w:caps w:val="0"/>
          <w:smallCaps w:val="0"/>
          <w:noProof w:val="0"/>
          <w:color w:val="373737"/>
          <w:sz w:val="18"/>
          <w:szCs w:val="18"/>
          <w:lang w:val="en-US"/>
        </w:rPr>
        <w:t>JA0006327-0000-26-053-H01-P</w:t>
      </w:r>
    </w:p>
    <w:p w:rsidRPr="001E2561" w:rsidR="00FB4480" w:rsidP="00FB4480" w:rsidRDefault="00FB4480" w14:paraId="1EBBE735" w14:textId="3E843B5B">
      <w:pPr>
        <w:pStyle w:val="BodyText"/>
        <w:ind w:left="267"/>
        <w:rPr>
          <w:sz w:val="16"/>
          <w:szCs w:val="16"/>
        </w:rPr>
      </w:pPr>
      <w:r w:rsidRPr="001E2561">
        <w:rPr>
          <w:b/>
          <w:bCs/>
          <w:sz w:val="16"/>
          <w:szCs w:val="16"/>
        </w:rPr>
        <w:t>American Medical Association (AMA):</w:t>
      </w:r>
      <w:r w:rsidRPr="001E2561">
        <w:rPr>
          <w:sz w:val="16"/>
          <w:szCs w:val="16"/>
        </w:rPr>
        <w:t xml:space="preserve"> Advocate Health designates this </w:t>
      </w:r>
      <w:r w:rsidR="001E2561">
        <w:rPr>
          <w:sz w:val="16"/>
          <w:szCs w:val="16"/>
        </w:rPr>
        <w:t>enduring</w:t>
      </w:r>
      <w:r w:rsidRPr="001E2561">
        <w:rPr>
          <w:sz w:val="16"/>
          <w:szCs w:val="16"/>
        </w:rPr>
        <w:t xml:space="preserve"> activity for a maximum </w:t>
      </w:r>
      <w:r w:rsidRPr="001E2561" w:rsidR="00E45F59">
        <w:rPr>
          <w:sz w:val="16"/>
          <w:szCs w:val="16"/>
        </w:rPr>
        <w:t>of 1.0</w:t>
      </w:r>
      <w:r w:rsidRPr="001E2561">
        <w:rPr>
          <w:sz w:val="16"/>
          <w:szCs w:val="16"/>
        </w:rPr>
        <w:t> </w:t>
      </w:r>
      <w:r w:rsidRPr="001E2561">
        <w:rPr>
          <w:i/>
          <w:iCs/>
          <w:sz w:val="16"/>
          <w:szCs w:val="16"/>
        </w:rPr>
        <w:t>AMA PRA Category 1 Credits™</w:t>
      </w:r>
      <w:r w:rsidRPr="001E2561">
        <w:rPr>
          <w:sz w:val="16"/>
          <w:szCs w:val="16"/>
        </w:rPr>
        <w:t>.  Physicians should claim only the credit commensurate with the extent of their participation in the activity. </w:t>
      </w:r>
    </w:p>
    <w:p w:rsidRPr="001E2561" w:rsidR="000A797A" w:rsidP="00FB4480" w:rsidRDefault="000A797A" w14:paraId="24E3C3EA" w14:textId="77777777">
      <w:pPr>
        <w:pStyle w:val="BodyText"/>
        <w:ind w:left="267"/>
        <w:rPr>
          <w:sz w:val="16"/>
          <w:szCs w:val="16"/>
        </w:rPr>
      </w:pPr>
    </w:p>
    <w:p w:rsidRPr="001E2561" w:rsidR="00F65EA8" w:rsidP="00B97706" w:rsidRDefault="00FB4480" w14:paraId="055E2158" w14:textId="08D71506">
      <w:pPr>
        <w:pStyle w:val="BodyText"/>
        <w:ind w:left="267"/>
        <w:rPr>
          <w:sz w:val="16"/>
          <w:szCs w:val="16"/>
        </w:rPr>
      </w:pPr>
      <w:r w:rsidRPr="001E2561">
        <w:rPr>
          <w:b/>
          <w:bCs/>
          <w:sz w:val="16"/>
          <w:szCs w:val="16"/>
        </w:rPr>
        <w:t>American Nurses Credentialing Center (ANCC):</w:t>
      </w:r>
      <w:r w:rsidRPr="001E2561">
        <w:rPr>
          <w:sz w:val="16"/>
          <w:szCs w:val="16"/>
        </w:rPr>
        <w:t xml:space="preserve"> Advocate Health designates this </w:t>
      </w:r>
      <w:r w:rsidR="001E2561">
        <w:rPr>
          <w:sz w:val="16"/>
          <w:szCs w:val="16"/>
        </w:rPr>
        <w:t>enduring</w:t>
      </w:r>
      <w:r w:rsidRPr="001E2561">
        <w:rPr>
          <w:sz w:val="16"/>
          <w:szCs w:val="16"/>
        </w:rPr>
        <w:t xml:space="preserve"> activity for a maximum of 1.0 ANCC contact hours/APRN pharmacological hours. Nurses should claim only the credit commensurate with the extent of their participation in the activity. </w:t>
      </w:r>
    </w:p>
    <w:p w:rsidRPr="00BF4185" w:rsidR="00BF4185" w:rsidP="0076386D" w:rsidRDefault="00C45F68" w14:paraId="53F409D9" w14:textId="2A6089AA">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1BA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76386D">
        <w:rPr>
          <w:rFonts w:eastAsia="Times New Roman" w:cs="Segoe UI"/>
        </w:rPr>
        <w:t xml:space="preserve">    </w:t>
      </w:r>
      <w:r w:rsidRPr="0088627D" w:rsidR="00134739">
        <w:rPr>
          <w:rFonts w:eastAsia="Times New Roman" w:cs="Segoe UI"/>
          <w:sz w:val="18"/>
          <w:szCs w:val="18"/>
        </w:rPr>
        <w:t>Contact Elaine Thomas (</w:t>
      </w:r>
      <w:hyperlink w:history="1" r:id="rId15">
        <w:r w:rsidRPr="0088627D" w:rsidR="00134739">
          <w:rPr>
            <w:rStyle w:val="Hyperlink"/>
            <w:rFonts w:eastAsia="Times New Roman" w:cs="Segoe UI"/>
            <w:sz w:val="18"/>
            <w:szCs w:val="18"/>
          </w:rPr>
          <w:t>elaine.r.thomas@advocatehealth.org</w:t>
        </w:r>
      </w:hyperlink>
      <w:r w:rsidRPr="0088627D" w:rsidR="00134739">
        <w:rPr>
          <w:rFonts w:eastAsia="Times New Roman" w:cs="Segoe UI"/>
          <w:sz w:val="18"/>
          <w:szCs w:val="18"/>
        </w:rPr>
        <w:t xml:space="preserve">) with questions. </w:t>
      </w:r>
    </w:p>
    <w:sectPr w:rsidRPr="00BF4185" w:rsidR="00BF4185" w:rsidSect="00A241B1">
      <w:footerReference w:type="default" r:id="rId16"/>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E88" w:rsidP="00055B10" w:rsidRDefault="00141E88" w14:paraId="0E72E4A5" w14:textId="77777777">
      <w:pPr>
        <w:spacing w:after="0" w:line="240" w:lineRule="auto"/>
      </w:pPr>
      <w:r>
        <w:separator/>
      </w:r>
    </w:p>
  </w:endnote>
  <w:endnote w:type="continuationSeparator" w:id="0">
    <w:p w:rsidR="00141E88" w:rsidP="00055B10" w:rsidRDefault="00141E88" w14:paraId="4A7B2D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0BD1DF96">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E88" w:rsidP="00055B10" w:rsidRDefault="00141E88" w14:paraId="0A250809" w14:textId="77777777">
      <w:pPr>
        <w:spacing w:after="0" w:line="240" w:lineRule="auto"/>
      </w:pPr>
      <w:r>
        <w:separator/>
      </w:r>
    </w:p>
  </w:footnote>
  <w:footnote w:type="continuationSeparator" w:id="0">
    <w:p w:rsidR="00141E88" w:rsidP="00055B10" w:rsidRDefault="00141E88" w14:paraId="4AA8395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7"/>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2"/>
  </w:num>
  <w:num w:numId="19" w16cid:durableId="1209731318">
    <w:abstractNumId w:val="29"/>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1"/>
  </w:num>
  <w:num w:numId="25" w16cid:durableId="1797025421">
    <w:abstractNumId w:val="8"/>
  </w:num>
  <w:num w:numId="26" w16cid:durableId="333345465">
    <w:abstractNumId w:val="28"/>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 w:numId="33" w16cid:durableId="3619831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0E03"/>
    <w:rsid w:val="00013356"/>
    <w:rsid w:val="000153A5"/>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34739"/>
    <w:rsid w:val="00141E88"/>
    <w:rsid w:val="001421FD"/>
    <w:rsid w:val="001474D0"/>
    <w:rsid w:val="00164A94"/>
    <w:rsid w:val="00167ED2"/>
    <w:rsid w:val="00175EBB"/>
    <w:rsid w:val="001774E7"/>
    <w:rsid w:val="0018421C"/>
    <w:rsid w:val="0018486C"/>
    <w:rsid w:val="001A0DC5"/>
    <w:rsid w:val="001C77D6"/>
    <w:rsid w:val="001D5D69"/>
    <w:rsid w:val="001E2561"/>
    <w:rsid w:val="00204974"/>
    <w:rsid w:val="00221947"/>
    <w:rsid w:val="00224AB6"/>
    <w:rsid w:val="00236B9A"/>
    <w:rsid w:val="00252416"/>
    <w:rsid w:val="00287E1D"/>
    <w:rsid w:val="00292141"/>
    <w:rsid w:val="002A7E3A"/>
    <w:rsid w:val="002B1714"/>
    <w:rsid w:val="002C196A"/>
    <w:rsid w:val="002D43F3"/>
    <w:rsid w:val="00304E08"/>
    <w:rsid w:val="00311774"/>
    <w:rsid w:val="00317858"/>
    <w:rsid w:val="00322A54"/>
    <w:rsid w:val="00325B86"/>
    <w:rsid w:val="00336689"/>
    <w:rsid w:val="00337147"/>
    <w:rsid w:val="00337CFE"/>
    <w:rsid w:val="00352F3E"/>
    <w:rsid w:val="00363494"/>
    <w:rsid w:val="00363949"/>
    <w:rsid w:val="00375E6A"/>
    <w:rsid w:val="00380B86"/>
    <w:rsid w:val="00385746"/>
    <w:rsid w:val="00387C4E"/>
    <w:rsid w:val="00391011"/>
    <w:rsid w:val="00395AE5"/>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765D5"/>
    <w:rsid w:val="00482FC7"/>
    <w:rsid w:val="004942A3"/>
    <w:rsid w:val="00494A78"/>
    <w:rsid w:val="004A4AA1"/>
    <w:rsid w:val="004B43F1"/>
    <w:rsid w:val="004C7395"/>
    <w:rsid w:val="004D0FF0"/>
    <w:rsid w:val="004E1183"/>
    <w:rsid w:val="0050083B"/>
    <w:rsid w:val="005117E0"/>
    <w:rsid w:val="00565174"/>
    <w:rsid w:val="00567102"/>
    <w:rsid w:val="005721B0"/>
    <w:rsid w:val="005773FC"/>
    <w:rsid w:val="00577EE5"/>
    <w:rsid w:val="00585244"/>
    <w:rsid w:val="005B551C"/>
    <w:rsid w:val="005C089E"/>
    <w:rsid w:val="005C315D"/>
    <w:rsid w:val="005C5810"/>
    <w:rsid w:val="005D2E95"/>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106D"/>
    <w:rsid w:val="006878F1"/>
    <w:rsid w:val="00691F4D"/>
    <w:rsid w:val="006972D5"/>
    <w:rsid w:val="006A5B7E"/>
    <w:rsid w:val="006D38D1"/>
    <w:rsid w:val="006E5BF1"/>
    <w:rsid w:val="006F0193"/>
    <w:rsid w:val="006F2CB3"/>
    <w:rsid w:val="006F75ED"/>
    <w:rsid w:val="00703E29"/>
    <w:rsid w:val="007346C8"/>
    <w:rsid w:val="00743969"/>
    <w:rsid w:val="0076386D"/>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63F57"/>
    <w:rsid w:val="0087352F"/>
    <w:rsid w:val="00874037"/>
    <w:rsid w:val="008832A2"/>
    <w:rsid w:val="008911DB"/>
    <w:rsid w:val="008A2311"/>
    <w:rsid w:val="008B49B6"/>
    <w:rsid w:val="008B5743"/>
    <w:rsid w:val="008D004F"/>
    <w:rsid w:val="008F3B6B"/>
    <w:rsid w:val="009005E8"/>
    <w:rsid w:val="00900B72"/>
    <w:rsid w:val="00914EB6"/>
    <w:rsid w:val="00944023"/>
    <w:rsid w:val="00947C6C"/>
    <w:rsid w:val="00955A2A"/>
    <w:rsid w:val="00964945"/>
    <w:rsid w:val="009C0BC6"/>
    <w:rsid w:val="009D65D9"/>
    <w:rsid w:val="009E10D1"/>
    <w:rsid w:val="009F008B"/>
    <w:rsid w:val="009F2459"/>
    <w:rsid w:val="009F694F"/>
    <w:rsid w:val="00A12DA0"/>
    <w:rsid w:val="00A200C4"/>
    <w:rsid w:val="00A241B1"/>
    <w:rsid w:val="00A26E52"/>
    <w:rsid w:val="00A47804"/>
    <w:rsid w:val="00A610E7"/>
    <w:rsid w:val="00A76075"/>
    <w:rsid w:val="00A771A6"/>
    <w:rsid w:val="00AA0EDE"/>
    <w:rsid w:val="00AB1AF9"/>
    <w:rsid w:val="00AE337A"/>
    <w:rsid w:val="00AE4CAD"/>
    <w:rsid w:val="00AF7D9A"/>
    <w:rsid w:val="00B03201"/>
    <w:rsid w:val="00B03F7B"/>
    <w:rsid w:val="00B0757F"/>
    <w:rsid w:val="00B2291F"/>
    <w:rsid w:val="00B45C82"/>
    <w:rsid w:val="00B4607E"/>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4EC4"/>
    <w:rsid w:val="00C05E8F"/>
    <w:rsid w:val="00C1436E"/>
    <w:rsid w:val="00C25711"/>
    <w:rsid w:val="00C40E29"/>
    <w:rsid w:val="00C41379"/>
    <w:rsid w:val="00C43F1B"/>
    <w:rsid w:val="00C45F68"/>
    <w:rsid w:val="00C5432F"/>
    <w:rsid w:val="00C706A4"/>
    <w:rsid w:val="00C87FDC"/>
    <w:rsid w:val="00C945C2"/>
    <w:rsid w:val="00CB0B5B"/>
    <w:rsid w:val="00CC70B3"/>
    <w:rsid w:val="00CD1372"/>
    <w:rsid w:val="00CD2B4F"/>
    <w:rsid w:val="00CF51C6"/>
    <w:rsid w:val="00CF5C71"/>
    <w:rsid w:val="00D1496D"/>
    <w:rsid w:val="00D15356"/>
    <w:rsid w:val="00D17BEC"/>
    <w:rsid w:val="00D303A6"/>
    <w:rsid w:val="00D34DBB"/>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106D"/>
    <w:rsid w:val="00DA4DA2"/>
    <w:rsid w:val="00DB50AB"/>
    <w:rsid w:val="00DB532B"/>
    <w:rsid w:val="00DF42CE"/>
    <w:rsid w:val="00DF4315"/>
    <w:rsid w:val="00DF46F1"/>
    <w:rsid w:val="00E0331C"/>
    <w:rsid w:val="00E131F5"/>
    <w:rsid w:val="00E21209"/>
    <w:rsid w:val="00E2152E"/>
    <w:rsid w:val="00E24ABE"/>
    <w:rsid w:val="00E31535"/>
    <w:rsid w:val="00E33C13"/>
    <w:rsid w:val="00E45F59"/>
    <w:rsid w:val="00E5477E"/>
    <w:rsid w:val="00E563E6"/>
    <w:rsid w:val="00E70BD7"/>
    <w:rsid w:val="00E74B71"/>
    <w:rsid w:val="00E74FC8"/>
    <w:rsid w:val="00E817C3"/>
    <w:rsid w:val="00E81A15"/>
    <w:rsid w:val="00E842EB"/>
    <w:rsid w:val="00E965A0"/>
    <w:rsid w:val="00EA0C61"/>
    <w:rsid w:val="00EA679F"/>
    <w:rsid w:val="00EA7AE4"/>
    <w:rsid w:val="00EB63F4"/>
    <w:rsid w:val="00EC18D4"/>
    <w:rsid w:val="00EC7FBE"/>
    <w:rsid w:val="00EE05F1"/>
    <w:rsid w:val="00EE4ECF"/>
    <w:rsid w:val="00EE7859"/>
    <w:rsid w:val="00F140DD"/>
    <w:rsid w:val="00F21AA6"/>
    <w:rsid w:val="00F33B42"/>
    <w:rsid w:val="00F34810"/>
    <w:rsid w:val="00F40DF0"/>
    <w:rsid w:val="00F4143A"/>
    <w:rsid w:val="00F623EC"/>
    <w:rsid w:val="00F65EA8"/>
    <w:rsid w:val="00F7060A"/>
    <w:rsid w:val="00F7094E"/>
    <w:rsid w:val="00F73EC7"/>
    <w:rsid w:val="00F772E9"/>
    <w:rsid w:val="00F8679F"/>
    <w:rsid w:val="00F91FA9"/>
    <w:rsid w:val="00FA02DB"/>
    <w:rsid w:val="00FA52C5"/>
    <w:rsid w:val="00FB182E"/>
    <w:rsid w:val="00FB23ED"/>
    <w:rsid w:val="00FB4480"/>
    <w:rsid w:val="00FC0D60"/>
    <w:rsid w:val="00FD1D64"/>
    <w:rsid w:val="00FD59A1"/>
    <w:rsid w:val="00FE4608"/>
    <w:rsid w:val="0225046F"/>
    <w:rsid w:val="034970A4"/>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07D27E6"/>
    <w:rsid w:val="6B5C5F6D"/>
    <w:rsid w:val="6B8455BB"/>
    <w:rsid w:val="75985B9A"/>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No</Test>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F8684BB4-0C62-4C34-9325-DACFEB03EED3}"/>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10</revision>
  <dcterms:created xsi:type="dcterms:W3CDTF">2025-12-29T23:17:00.0000000Z</dcterms:created>
  <dcterms:modified xsi:type="dcterms:W3CDTF">2026-02-25T21:28:09.2695755Z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