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74F0" w:rsidP="007A74F0" w:rsidRDefault="007A74F0" w14:paraId="0EBA4237" w14:textId="77777777">
                            <w:pPr>
                              <w:spacing w:after="0" w:line="240" w:lineRule="auto"/>
                              <w:ind w:left="720" w:hanging="720"/>
                              <w:jc w:val="center"/>
                              <w:rPr>
                                <w:rFonts w:eastAsia="Verdana" w:cstheme="minorHAnsi"/>
                                <w:sz w:val="36"/>
                                <w:szCs w:val="36"/>
                                <w:lang w:bidi="en-US"/>
                              </w:rPr>
                            </w:pPr>
                            <w:bookmarkStart w:name="_Hlk129337215" w:id="0"/>
                            <w:r w:rsidRPr="007A74F0">
                              <w:rPr>
                                <w:rFonts w:eastAsia="Verdana" w:cstheme="minorHAnsi"/>
                                <w:sz w:val="36"/>
                                <w:szCs w:val="36"/>
                                <w:lang w:bidi="en-US"/>
                              </w:rPr>
                              <w:t xml:space="preserve">From Monoclonal Gammopathy to Myeloma: </w:t>
                            </w:r>
                          </w:p>
                          <w:p w:rsidRPr="007A74F0" w:rsidR="007A74F0" w:rsidP="007A74F0" w:rsidRDefault="007A74F0" w14:paraId="053795BA" w14:textId="30D24BFF">
                            <w:pPr>
                              <w:spacing w:after="0" w:line="240" w:lineRule="auto"/>
                              <w:ind w:left="720" w:hanging="720"/>
                              <w:jc w:val="center"/>
                              <w:rPr>
                                <w:rFonts w:eastAsia="Verdana" w:cstheme="minorHAnsi"/>
                                <w:sz w:val="36"/>
                                <w:szCs w:val="36"/>
                                <w:lang w:bidi="en-US"/>
                              </w:rPr>
                            </w:pPr>
                            <w:r w:rsidRPr="007A74F0">
                              <w:rPr>
                                <w:rFonts w:eastAsia="Verdana" w:cstheme="minorHAnsi"/>
                                <w:sz w:val="36"/>
                                <w:szCs w:val="36"/>
                                <w:lang w:bidi="en-US"/>
                              </w:rPr>
                              <w:t>Decoding the Smoldering Phase</w:t>
                            </w:r>
                          </w:p>
                          <w:p w:rsidR="008160DB" w:rsidP="005F3CDB" w:rsidRDefault="007E1305" w14:paraId="127390E2" w14:textId="2EFF84CC">
                            <w:pPr>
                              <w:spacing w:after="0" w:line="240" w:lineRule="auto"/>
                              <w:ind w:left="720" w:hanging="720"/>
                              <w:jc w:val="center"/>
                              <w:rPr>
                                <w:sz w:val="24"/>
                                <w:szCs w:val="24"/>
                              </w:rPr>
                            </w:pPr>
                            <w:r>
                              <w:rPr>
                                <w:sz w:val="24"/>
                                <w:szCs w:val="24"/>
                              </w:rPr>
                              <w:t>Recorded Session on the Advocate Health CE Platform</w:t>
                            </w:r>
                          </w:p>
                          <w:p w:rsidRPr="00565174" w:rsidR="007E1305" w:rsidP="005F3CDB" w:rsidRDefault="007E1305" w14:paraId="722B279C" w14:textId="16B8D9A5">
                            <w:pPr>
                              <w:spacing w:after="0" w:line="240" w:lineRule="auto"/>
                              <w:ind w:left="720" w:hanging="720"/>
                              <w:jc w:val="center"/>
                              <w:rPr>
                                <w:sz w:val="24"/>
                                <w:szCs w:val="24"/>
                              </w:rPr>
                            </w:pPr>
                            <w:r>
                              <w:rPr>
                                <w:sz w:val="24"/>
                                <w:szCs w:val="24"/>
                              </w:rPr>
                              <w:t>From 1/29/26-1/29/27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v:textbox>
                  <w:txbxContent>
                    <w:p w:rsidR="007A74F0" w:rsidP="007A74F0" w:rsidRDefault="007A74F0" w14:paraId="0EBA4237" w14:textId="77777777">
                      <w:pPr>
                        <w:spacing w:after="0" w:line="240" w:lineRule="auto"/>
                        <w:ind w:left="720" w:hanging="720"/>
                        <w:jc w:val="center"/>
                        <w:rPr>
                          <w:rFonts w:eastAsia="Verdana" w:cstheme="minorHAnsi"/>
                          <w:sz w:val="36"/>
                          <w:szCs w:val="36"/>
                          <w:lang w:bidi="en-US"/>
                        </w:rPr>
                      </w:pPr>
                      <w:r w:rsidRPr="007A74F0">
                        <w:rPr>
                          <w:rFonts w:eastAsia="Verdana" w:cstheme="minorHAnsi"/>
                          <w:sz w:val="36"/>
                          <w:szCs w:val="36"/>
                          <w:lang w:bidi="en-US"/>
                        </w:rPr>
                        <w:t xml:space="preserve">From Monoclonal Gammopathy to Myeloma: </w:t>
                      </w:r>
                    </w:p>
                    <w:p w:rsidRPr="007A74F0" w:rsidR="007A74F0" w:rsidP="007A74F0" w:rsidRDefault="007A74F0" w14:paraId="053795BA" w14:textId="30D24BFF">
                      <w:pPr>
                        <w:spacing w:after="0" w:line="240" w:lineRule="auto"/>
                        <w:ind w:left="720" w:hanging="720"/>
                        <w:jc w:val="center"/>
                        <w:rPr>
                          <w:rFonts w:eastAsia="Verdana" w:cstheme="minorHAnsi"/>
                          <w:sz w:val="36"/>
                          <w:szCs w:val="36"/>
                          <w:lang w:bidi="en-US"/>
                        </w:rPr>
                      </w:pPr>
                      <w:r w:rsidRPr="007A74F0">
                        <w:rPr>
                          <w:rFonts w:eastAsia="Verdana" w:cstheme="minorHAnsi"/>
                          <w:sz w:val="36"/>
                          <w:szCs w:val="36"/>
                          <w:lang w:bidi="en-US"/>
                        </w:rPr>
                        <w:t>Decoding the Smoldering Phase</w:t>
                      </w:r>
                    </w:p>
                    <w:p w:rsidR="008160DB" w:rsidP="005F3CDB" w:rsidRDefault="007E1305" w14:paraId="127390E2" w14:textId="2EFF84CC">
                      <w:pPr>
                        <w:spacing w:after="0" w:line="240" w:lineRule="auto"/>
                        <w:ind w:left="720" w:hanging="720"/>
                        <w:jc w:val="center"/>
                        <w:rPr>
                          <w:sz w:val="24"/>
                          <w:szCs w:val="24"/>
                        </w:rPr>
                      </w:pPr>
                      <w:r>
                        <w:rPr>
                          <w:sz w:val="24"/>
                          <w:szCs w:val="24"/>
                        </w:rPr>
                        <w:t>Recorded Session on the Advocate Health CE Platform</w:t>
                      </w:r>
                    </w:p>
                    <w:p w:rsidRPr="00565174" w:rsidR="007E1305" w:rsidP="005F3CDB" w:rsidRDefault="007E1305" w14:paraId="722B279C" w14:textId="16B8D9A5">
                      <w:pPr>
                        <w:spacing w:after="0" w:line="240" w:lineRule="auto"/>
                        <w:ind w:left="720" w:hanging="720"/>
                        <w:jc w:val="center"/>
                        <w:rPr>
                          <w:sz w:val="24"/>
                          <w:szCs w:val="24"/>
                        </w:rPr>
                      </w:pPr>
                      <w:r>
                        <w:rPr>
                          <w:sz w:val="24"/>
                          <w:szCs w:val="24"/>
                        </w:rPr>
                        <w:t>From 1/29/26-1/29/27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5F217F" w:rsidR="005F217F" w:rsidP="005F217F" w:rsidRDefault="00F65EA8" w14:paraId="25ADE49D" w14:textId="3C43799B">
      <w:pPr>
        <w:pStyle w:val="BodyText"/>
        <w:spacing w:before="2" w:line="249" w:lineRule="auto"/>
        <w:ind w:right="216"/>
      </w:pPr>
      <w:r w:rsidRPr="006878F1">
        <w:rPr>
          <w:b/>
          <w:bCs/>
        </w:rPr>
        <w:t xml:space="preserve">Overview: </w:t>
      </w:r>
      <w:r w:rsidRPr="005F217F" w:rsidR="005F217F">
        <w:t xml:space="preserve">We will explore the complexities of smoldering multiple myeloma (SMM), where the decision to observe or intervene can significantly impact patient outcomes. This activity provides pharmacists with practical strategies and </w:t>
      </w:r>
      <w:proofErr w:type="spellStart"/>
      <w:r w:rsidRPr="005F217F" w:rsidR="005F217F">
        <w:t>evidence-based</w:t>
      </w:r>
      <w:proofErr w:type="spellEnd"/>
      <w:r w:rsidRPr="005F217F" w:rsidR="005F217F">
        <w:t xml:space="preserve"> insights to guide balanced, patient-centered care in this often silent, high-risk stage of disease.</w:t>
      </w:r>
    </w:p>
    <w:p w:rsidRPr="00B40198" w:rsidR="00D354ED" w:rsidP="00EB63F4" w:rsidRDefault="00D354ED" w14:paraId="5D6078F1" w14:textId="1B281A21">
      <w:pPr>
        <w:pStyle w:val="BodyText"/>
        <w:spacing w:before="2" w:line="249" w:lineRule="auto"/>
        <w:ind w:right="216"/>
      </w:pPr>
    </w:p>
    <w:p w:rsidR="00E377C7" w:rsidP="005F217F" w:rsidRDefault="00F65EA8" w14:paraId="6B8617B0" w14:textId="77777777">
      <w:pPr>
        <w:pStyle w:val="BodyText"/>
      </w:pPr>
      <w:r w:rsidRPr="0225046F">
        <w:rPr>
          <w:b/>
          <w:bCs/>
        </w:rPr>
        <w:t>Speaker: </w:t>
      </w:r>
      <w:r w:rsidR="00E377C7">
        <w:t>Cesilia Baltazar, PharmD, MBA, PGY1 Pharmacy Resident – Atrium Health Carolinas Medical Center</w:t>
      </w:r>
    </w:p>
    <w:p w:rsidR="000A23CA" w:rsidP="00322A54" w:rsidRDefault="000A23CA" w14:paraId="26DE9662" w14:textId="1247BCCB">
      <w:pPr>
        <w:pStyle w:val="BodyText"/>
        <w:spacing w:line="227" w:lineRule="exact"/>
      </w:pPr>
    </w:p>
    <w:p w:rsidR="007D0F37" w:rsidP="007D0F37" w:rsidRDefault="00B45C82" w14:paraId="2AE985EB" w14:textId="77777777">
      <w:pPr>
        <w:rPr>
          <w:rFonts w:ascii="Verdana" w:hAnsi="Verdana"/>
          <w:b/>
          <w:bCs/>
          <w:sz w:val="20"/>
        </w:rPr>
      </w:pPr>
      <w:r w:rsidRPr="0225046F">
        <w:rPr>
          <w:rFonts w:ascii="Verdana" w:hAnsi="Verdana"/>
          <w:b/>
          <w:bCs/>
          <w:sz w:val="20"/>
          <w:szCs w:val="20"/>
        </w:rPr>
        <w:t>Preceptor:</w:t>
      </w:r>
      <w:r w:rsidR="00DF46F1">
        <w:rPr>
          <w:rFonts w:ascii="Verdana" w:hAnsi="Verdana"/>
          <w:b/>
          <w:bCs/>
          <w:sz w:val="20"/>
          <w:szCs w:val="20"/>
        </w:rPr>
        <w:t xml:space="preserve"> </w:t>
      </w:r>
      <w:r w:rsidRPr="007D0F37" w:rsidR="007D0F37">
        <w:rPr>
          <w:rFonts w:ascii="Verdana" w:hAnsi="Verdana"/>
          <w:sz w:val="20"/>
          <w:lang w:bidi="en-US"/>
        </w:rPr>
        <w:t>Grace Elsey, PharmD, BCOP</w:t>
      </w:r>
      <w:r w:rsidRPr="007D0F37" w:rsidR="007D0F37">
        <w:rPr>
          <w:rFonts w:ascii="Verdana" w:hAnsi="Verdana"/>
          <w:b/>
          <w:bCs/>
          <w:sz w:val="20"/>
        </w:rPr>
        <w:t xml:space="preserve"> </w:t>
      </w:r>
    </w:p>
    <w:p w:rsidRPr="006878F1" w:rsidR="00F65EA8" w:rsidP="006A5755" w:rsidRDefault="00F65EA8" w14:paraId="055EF5BB" w14:textId="6CC05E2B">
      <w:pPr>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rsidRPr="00D13FB7" w:rsidR="006A5755" w:rsidP="00471648" w:rsidRDefault="006A5755" w14:paraId="23B2D4FB" w14:textId="703D40F1">
      <w:pPr>
        <w:pStyle w:val="ListParagraph"/>
        <w:numPr>
          <w:ilvl w:val="0"/>
          <w:numId w:val="34"/>
        </w:numPr>
        <w:spacing w:line="240" w:lineRule="auto"/>
        <w:rPr>
          <w:rFonts w:ascii="Verdana" w:hAnsi="Verdana"/>
          <w:sz w:val="20"/>
          <w:szCs w:val="20"/>
          <w:lang w:bidi="en-US"/>
        </w:rPr>
      </w:pPr>
      <w:r w:rsidRPr="00D13FB7">
        <w:rPr>
          <w:rFonts w:ascii="Verdana" w:hAnsi="Verdana"/>
          <w:sz w:val="20"/>
          <w:szCs w:val="20"/>
          <w:lang w:bidi="en-US"/>
        </w:rPr>
        <w:t xml:space="preserve">Differentiate between </w:t>
      </w:r>
      <w:r w:rsidRPr="00D13FB7" w:rsidR="002D65CD">
        <w:rPr>
          <w:rFonts w:ascii="Verdana" w:hAnsi="Verdana"/>
          <w:sz w:val="20"/>
          <w:szCs w:val="20"/>
          <w:lang w:bidi="en-US"/>
        </w:rPr>
        <w:t>m</w:t>
      </w:r>
      <w:r w:rsidRPr="00D13FB7" w:rsidR="00B807D5">
        <w:rPr>
          <w:rFonts w:ascii="Verdana" w:hAnsi="Verdana"/>
          <w:sz w:val="20"/>
          <w:szCs w:val="20"/>
          <w:lang w:bidi="en-US"/>
        </w:rPr>
        <w:t>onoclonal </w:t>
      </w:r>
      <w:r w:rsidRPr="00D13FB7" w:rsidR="002D65CD">
        <w:rPr>
          <w:rFonts w:ascii="Verdana" w:hAnsi="Verdana"/>
          <w:sz w:val="20"/>
          <w:szCs w:val="20"/>
          <w:lang w:bidi="en-US"/>
        </w:rPr>
        <w:t>g</w:t>
      </w:r>
      <w:r w:rsidRPr="00D13FB7" w:rsidR="00B807D5">
        <w:rPr>
          <w:rFonts w:ascii="Verdana" w:hAnsi="Verdana"/>
          <w:sz w:val="20"/>
          <w:szCs w:val="20"/>
          <w:lang w:bidi="en-US"/>
        </w:rPr>
        <w:t>ammopathy of </w:t>
      </w:r>
      <w:r w:rsidRPr="00D13FB7" w:rsidR="002D65CD">
        <w:rPr>
          <w:rFonts w:ascii="Verdana" w:hAnsi="Verdana"/>
          <w:sz w:val="20"/>
          <w:szCs w:val="20"/>
          <w:lang w:bidi="en-US"/>
        </w:rPr>
        <w:t>u</w:t>
      </w:r>
      <w:r w:rsidRPr="00D13FB7" w:rsidR="00B807D5">
        <w:rPr>
          <w:rFonts w:ascii="Verdana" w:hAnsi="Verdana"/>
          <w:sz w:val="20"/>
          <w:szCs w:val="20"/>
          <w:lang w:bidi="en-US"/>
        </w:rPr>
        <w:t>ndetermined </w:t>
      </w:r>
      <w:r w:rsidRPr="00D13FB7" w:rsidR="002D65CD">
        <w:rPr>
          <w:rFonts w:ascii="Verdana" w:hAnsi="Verdana"/>
          <w:sz w:val="20"/>
          <w:szCs w:val="20"/>
          <w:lang w:bidi="en-US"/>
        </w:rPr>
        <w:t>s</w:t>
      </w:r>
      <w:r w:rsidRPr="00D13FB7" w:rsidR="00B807D5">
        <w:rPr>
          <w:rFonts w:ascii="Verdana" w:hAnsi="Verdana"/>
          <w:sz w:val="20"/>
          <w:szCs w:val="20"/>
          <w:lang w:bidi="en-US"/>
        </w:rPr>
        <w:t>ignificance</w:t>
      </w:r>
      <w:r w:rsidRPr="00D13FB7" w:rsidR="00B807D5">
        <w:rPr>
          <w:rFonts w:ascii="Verdana" w:hAnsi="Verdana"/>
          <w:b/>
          <w:bCs/>
          <w:sz w:val="20"/>
          <w:szCs w:val="20"/>
          <w:lang w:bidi="en-US"/>
        </w:rPr>
        <w:t xml:space="preserve"> </w:t>
      </w:r>
      <w:r w:rsidRPr="00D13FB7" w:rsidR="00B807D5">
        <w:rPr>
          <w:rFonts w:ascii="Verdana" w:hAnsi="Verdana"/>
          <w:sz w:val="20"/>
          <w:szCs w:val="20"/>
          <w:lang w:bidi="en-US"/>
        </w:rPr>
        <w:t>(</w:t>
      </w:r>
      <w:r w:rsidRPr="00D13FB7">
        <w:rPr>
          <w:rFonts w:ascii="Verdana" w:hAnsi="Verdana"/>
          <w:sz w:val="20"/>
          <w:szCs w:val="20"/>
          <w:lang w:bidi="en-US"/>
        </w:rPr>
        <w:t>MGUS</w:t>
      </w:r>
      <w:r w:rsidRPr="00D13FB7" w:rsidR="00B807D5">
        <w:rPr>
          <w:rFonts w:ascii="Verdana" w:hAnsi="Verdana"/>
          <w:sz w:val="20"/>
          <w:szCs w:val="20"/>
          <w:lang w:bidi="en-US"/>
        </w:rPr>
        <w:t>)</w:t>
      </w:r>
      <w:r w:rsidRPr="00D13FB7">
        <w:rPr>
          <w:rFonts w:ascii="Verdana" w:hAnsi="Verdana"/>
          <w:sz w:val="20"/>
          <w:szCs w:val="20"/>
          <w:lang w:bidi="en-US"/>
        </w:rPr>
        <w:t xml:space="preserve">, </w:t>
      </w:r>
      <w:r w:rsidRPr="00D13FB7" w:rsidR="00405269">
        <w:rPr>
          <w:rFonts w:ascii="Verdana" w:hAnsi="Verdana"/>
          <w:sz w:val="20"/>
          <w:szCs w:val="20"/>
          <w:lang w:bidi="en-US"/>
        </w:rPr>
        <w:t>smoldering multiple myeloma (</w:t>
      </w:r>
      <w:r w:rsidRPr="00D13FB7">
        <w:rPr>
          <w:rFonts w:ascii="Verdana" w:hAnsi="Verdana"/>
          <w:sz w:val="20"/>
          <w:szCs w:val="20"/>
          <w:lang w:bidi="en-US"/>
        </w:rPr>
        <w:t>SMM</w:t>
      </w:r>
      <w:r w:rsidRPr="00D13FB7" w:rsidR="00405269">
        <w:rPr>
          <w:rFonts w:ascii="Verdana" w:hAnsi="Verdana"/>
          <w:sz w:val="20"/>
          <w:szCs w:val="20"/>
          <w:lang w:bidi="en-US"/>
        </w:rPr>
        <w:t>)</w:t>
      </w:r>
      <w:r w:rsidRPr="00D13FB7">
        <w:rPr>
          <w:rFonts w:ascii="Verdana" w:hAnsi="Verdana"/>
          <w:sz w:val="20"/>
          <w:szCs w:val="20"/>
          <w:lang w:bidi="en-US"/>
        </w:rPr>
        <w:t xml:space="preserve">, and </w:t>
      </w:r>
      <w:r w:rsidRPr="00D13FB7" w:rsidR="00405269">
        <w:rPr>
          <w:rFonts w:ascii="Verdana" w:hAnsi="Verdana"/>
          <w:sz w:val="20"/>
          <w:szCs w:val="20"/>
          <w:lang w:bidi="en-US"/>
        </w:rPr>
        <w:t>multiple myeloma (</w:t>
      </w:r>
      <w:r w:rsidRPr="00D13FB7">
        <w:rPr>
          <w:rFonts w:ascii="Verdana" w:hAnsi="Verdana"/>
          <w:sz w:val="20"/>
          <w:szCs w:val="20"/>
          <w:lang w:bidi="en-US"/>
        </w:rPr>
        <w:t>MM based</w:t>
      </w:r>
      <w:r w:rsidRPr="00D13FB7" w:rsidR="00405269">
        <w:rPr>
          <w:rFonts w:ascii="Verdana" w:hAnsi="Verdana"/>
          <w:sz w:val="20"/>
          <w:szCs w:val="20"/>
          <w:lang w:bidi="en-US"/>
        </w:rPr>
        <w:t>)</w:t>
      </w:r>
      <w:r w:rsidRPr="00D13FB7">
        <w:rPr>
          <w:rFonts w:ascii="Verdana" w:hAnsi="Verdana"/>
          <w:sz w:val="20"/>
          <w:szCs w:val="20"/>
          <w:lang w:bidi="en-US"/>
        </w:rPr>
        <w:t xml:space="preserve"> on current diagnostic criteria</w:t>
      </w:r>
    </w:p>
    <w:p w:rsidRPr="00D13FB7" w:rsidR="006A5755" w:rsidP="00471648" w:rsidRDefault="006A5755" w14:paraId="1EA164FF" w14:textId="06C394D9">
      <w:pPr>
        <w:pStyle w:val="ListParagraph"/>
        <w:numPr>
          <w:ilvl w:val="0"/>
          <w:numId w:val="34"/>
        </w:numPr>
        <w:spacing w:line="240" w:lineRule="auto"/>
        <w:rPr>
          <w:rFonts w:ascii="Verdana" w:hAnsi="Verdana"/>
          <w:sz w:val="20"/>
          <w:szCs w:val="20"/>
          <w:lang w:bidi="en-US"/>
        </w:rPr>
      </w:pPr>
      <w:r w:rsidRPr="00D13FB7">
        <w:rPr>
          <w:rFonts w:ascii="Verdana" w:hAnsi="Verdana"/>
          <w:sz w:val="20"/>
          <w:szCs w:val="20"/>
          <w:lang w:bidi="en-US"/>
        </w:rPr>
        <w:t xml:space="preserve">Describe </w:t>
      </w:r>
      <w:r w:rsidRPr="00D13FB7" w:rsidR="006A49D8">
        <w:rPr>
          <w:rFonts w:ascii="Verdana" w:hAnsi="Verdana"/>
          <w:sz w:val="20"/>
          <w:szCs w:val="20"/>
          <w:lang w:bidi="en-US"/>
        </w:rPr>
        <w:t>National Comprehensive Cancer Network (</w:t>
      </w:r>
      <w:r w:rsidRPr="00D13FB7">
        <w:rPr>
          <w:rFonts w:ascii="Verdana" w:hAnsi="Verdana"/>
          <w:sz w:val="20"/>
          <w:szCs w:val="20"/>
          <w:lang w:bidi="en-US"/>
        </w:rPr>
        <w:t>NCCN</w:t>
      </w:r>
      <w:r w:rsidRPr="00D13FB7" w:rsidR="006A49D8">
        <w:rPr>
          <w:rFonts w:ascii="Verdana" w:hAnsi="Verdana"/>
          <w:sz w:val="20"/>
          <w:szCs w:val="20"/>
          <w:lang w:bidi="en-US"/>
        </w:rPr>
        <w:t>)</w:t>
      </w:r>
      <w:r w:rsidRPr="00D13FB7">
        <w:rPr>
          <w:rFonts w:ascii="Verdana" w:hAnsi="Verdana"/>
          <w:sz w:val="20"/>
          <w:szCs w:val="20"/>
          <w:lang w:bidi="en-US"/>
        </w:rPr>
        <w:t xml:space="preserve"> and </w:t>
      </w:r>
      <w:r w:rsidRPr="00D13FB7" w:rsidR="003D2E24">
        <w:rPr>
          <w:rFonts w:ascii="Verdana" w:hAnsi="Verdana"/>
          <w:sz w:val="20"/>
          <w:szCs w:val="20"/>
          <w:lang w:bidi="en-US"/>
        </w:rPr>
        <w:t xml:space="preserve">International Myeloma </w:t>
      </w:r>
      <w:r w:rsidRPr="00D13FB7" w:rsidR="00BB5125">
        <w:rPr>
          <w:rFonts w:ascii="Verdana" w:hAnsi="Verdana"/>
          <w:sz w:val="20"/>
          <w:szCs w:val="20"/>
          <w:lang w:bidi="en-US"/>
        </w:rPr>
        <w:t>Working</w:t>
      </w:r>
      <w:r w:rsidRPr="00D13FB7" w:rsidR="003D2E24">
        <w:rPr>
          <w:rFonts w:ascii="Verdana" w:hAnsi="Verdana"/>
          <w:sz w:val="20"/>
          <w:szCs w:val="20"/>
          <w:lang w:bidi="en-US"/>
        </w:rPr>
        <w:t xml:space="preserve"> </w:t>
      </w:r>
      <w:r w:rsidRPr="00D13FB7" w:rsidR="00BB5125">
        <w:rPr>
          <w:rFonts w:ascii="Verdana" w:hAnsi="Verdana"/>
          <w:sz w:val="20"/>
          <w:szCs w:val="20"/>
          <w:lang w:bidi="en-US"/>
        </w:rPr>
        <w:t>G</w:t>
      </w:r>
      <w:r w:rsidRPr="00D13FB7" w:rsidR="003D2E24">
        <w:rPr>
          <w:rFonts w:ascii="Verdana" w:hAnsi="Verdana"/>
          <w:sz w:val="20"/>
          <w:szCs w:val="20"/>
          <w:lang w:bidi="en-US"/>
        </w:rPr>
        <w:t>roup</w:t>
      </w:r>
      <w:r w:rsidRPr="00D13FB7" w:rsidR="00BB5125">
        <w:rPr>
          <w:rFonts w:ascii="Verdana" w:hAnsi="Verdana"/>
          <w:sz w:val="20"/>
          <w:szCs w:val="20"/>
          <w:lang w:bidi="en-US"/>
        </w:rPr>
        <w:t xml:space="preserve"> (</w:t>
      </w:r>
      <w:r w:rsidRPr="00D13FB7">
        <w:rPr>
          <w:rFonts w:ascii="Verdana" w:hAnsi="Verdana"/>
          <w:sz w:val="20"/>
          <w:szCs w:val="20"/>
          <w:lang w:bidi="en-US"/>
        </w:rPr>
        <w:t>IMWG</w:t>
      </w:r>
      <w:r w:rsidRPr="00D13FB7" w:rsidR="00BB5125">
        <w:rPr>
          <w:rFonts w:ascii="Verdana" w:hAnsi="Verdana"/>
          <w:sz w:val="20"/>
          <w:szCs w:val="20"/>
          <w:lang w:bidi="en-US"/>
        </w:rPr>
        <w:t>)</w:t>
      </w:r>
      <w:r w:rsidRPr="00D13FB7">
        <w:rPr>
          <w:rFonts w:ascii="Verdana" w:hAnsi="Verdana"/>
          <w:sz w:val="20"/>
          <w:szCs w:val="20"/>
          <w:lang w:bidi="en-US"/>
        </w:rPr>
        <w:t xml:space="preserve"> guidelines for the risk of stratification, monitoring and management of patients with SMM</w:t>
      </w:r>
    </w:p>
    <w:p w:rsidRPr="00D13FB7" w:rsidR="00640A62" w:rsidP="00640A62" w:rsidRDefault="006A5755" w14:paraId="76127D11" w14:textId="77777777">
      <w:pPr>
        <w:pStyle w:val="ListParagraph"/>
        <w:numPr>
          <w:ilvl w:val="0"/>
          <w:numId w:val="34"/>
        </w:numPr>
        <w:spacing w:line="240" w:lineRule="auto"/>
        <w:rPr>
          <w:rFonts w:ascii="Verdana" w:hAnsi="Verdana"/>
          <w:sz w:val="20"/>
          <w:szCs w:val="20"/>
          <w:lang w:bidi="en-US"/>
        </w:rPr>
      </w:pPr>
      <w:r w:rsidRPr="00D13FB7">
        <w:rPr>
          <w:rFonts w:ascii="Verdana" w:hAnsi="Verdana"/>
          <w:sz w:val="20"/>
          <w:szCs w:val="20"/>
          <w:lang w:bidi="en-US"/>
        </w:rPr>
        <w:t>Clinically assess the benefits and drawbacks of early therapeutic intervention in SMM</w:t>
      </w:r>
    </w:p>
    <w:p w:rsidRPr="00D13FB7" w:rsidR="001A0F37" w:rsidP="006A5755" w:rsidRDefault="001A0F37" w14:paraId="5A8D3260" w14:textId="26720B3B">
      <w:pPr>
        <w:pStyle w:val="ListParagraph"/>
        <w:numPr>
          <w:ilvl w:val="0"/>
          <w:numId w:val="34"/>
        </w:numPr>
        <w:spacing w:line="240" w:lineRule="auto"/>
        <w:rPr>
          <w:rFonts w:ascii="Verdana" w:hAnsi="Verdana"/>
          <w:sz w:val="20"/>
          <w:szCs w:val="20"/>
          <w:lang w:bidi="en-US"/>
        </w:rPr>
      </w:pPr>
      <w:proofErr w:type="gramStart"/>
      <w:r w:rsidRPr="00D13FB7">
        <w:rPr>
          <w:rFonts w:ascii="Verdana" w:hAnsi="Verdana"/>
          <w:sz w:val="20"/>
          <w:szCs w:val="20"/>
        </w:rPr>
        <w:t>Review</w:t>
      </w:r>
      <w:proofErr w:type="gramEnd"/>
      <w:r w:rsidRPr="00D13FB7">
        <w:rPr>
          <w:rFonts w:ascii="Verdana" w:hAnsi="Verdana"/>
          <w:sz w:val="20"/>
          <w:szCs w:val="20"/>
        </w:rPr>
        <w:t xml:space="preserve"> recent clinical trial data to support </w:t>
      </w:r>
      <w:proofErr w:type="spellStart"/>
      <w:r w:rsidRPr="00D13FB7">
        <w:rPr>
          <w:rFonts w:ascii="Verdana" w:hAnsi="Verdana"/>
          <w:sz w:val="20"/>
          <w:szCs w:val="20"/>
        </w:rPr>
        <w:t>evidence-based</w:t>
      </w:r>
      <w:proofErr w:type="spellEnd"/>
      <w:r w:rsidRPr="00D13FB7">
        <w:rPr>
          <w:rFonts w:ascii="Verdana" w:hAnsi="Verdana"/>
          <w:sz w:val="20"/>
          <w:szCs w:val="20"/>
        </w:rPr>
        <w:t xml:space="preserve"> decision making in the management of SMM</w:t>
      </w:r>
    </w:p>
    <w:p w:rsidRPr="00640A62" w:rsidR="00F65EA8" w:rsidP="00EA7AE4" w:rsidRDefault="00F65EA8" w14:paraId="196CD146" w14:textId="41503213">
      <w:pPr>
        <w:spacing w:line="240" w:lineRule="auto"/>
        <w:rPr>
          <w:rFonts w:ascii="Verdana" w:hAnsi="Verdana"/>
          <w:b/>
          <w:bCs/>
          <w:sz w:val="18"/>
          <w:szCs w:val="18"/>
        </w:rPr>
      </w:pPr>
      <w:r w:rsidRPr="00640A62">
        <w:rPr>
          <w:rFonts w:ascii="Verdana" w:hAnsi="Verdana"/>
          <w:b/>
          <w:bCs/>
          <w:sz w:val="18"/>
          <w:szCs w:val="18"/>
        </w:rPr>
        <w:t>Target Audience:</w:t>
      </w:r>
      <w:r w:rsidRPr="00640A62">
        <w:rPr>
          <w:rFonts w:ascii="Arial" w:hAnsi="Arial" w:cs="Arial"/>
          <w:b/>
          <w:bCs/>
          <w:sz w:val="18"/>
          <w:szCs w:val="18"/>
        </w:rPr>
        <w:t>​</w:t>
      </w:r>
      <w:r w:rsidRPr="00640A62">
        <w:rPr>
          <w:rFonts w:ascii="Verdana" w:hAnsi="Verdana"/>
          <w:b/>
          <w:bCs/>
          <w:sz w:val="18"/>
          <w:szCs w:val="18"/>
        </w:rPr>
        <w:t xml:space="preserve"> </w:t>
      </w:r>
      <w:r w:rsidRPr="00640A62">
        <w:rPr>
          <w:rFonts w:ascii="Verdana" w:hAnsi="Verdana"/>
          <w:sz w:val="18"/>
          <w:szCs w:val="18"/>
        </w:rPr>
        <w:t xml:space="preserve">Advocate </w:t>
      </w:r>
      <w:r w:rsidRPr="00640A62" w:rsidR="00D8590F">
        <w:rPr>
          <w:rFonts w:ascii="Verdana" w:hAnsi="Verdana"/>
          <w:sz w:val="18"/>
          <w:szCs w:val="18"/>
        </w:rPr>
        <w:t xml:space="preserve">Health </w:t>
      </w:r>
      <w:r w:rsidRPr="00640A62">
        <w:rPr>
          <w:rFonts w:ascii="Verdana" w:hAnsi="Verdana"/>
          <w:sz w:val="18"/>
          <w:szCs w:val="18"/>
        </w:rPr>
        <w:t>Pharmacists</w:t>
      </w:r>
      <w:r w:rsidRPr="00640A62" w:rsidR="00FB4480">
        <w:rPr>
          <w:rFonts w:ascii="Verdana" w:hAnsi="Verdana"/>
          <w:sz w:val="18"/>
          <w:szCs w:val="18"/>
        </w:rPr>
        <w:t>, Physicians, Nurses, and other interested healthcare professionals</w:t>
      </w:r>
    </w:p>
    <w:p w:rsidRPr="00640A62" w:rsidR="00F65EA8" w:rsidP="000A797A" w:rsidRDefault="00F65EA8" w14:paraId="7EA526BE" w14:textId="21562F65">
      <w:pPr>
        <w:spacing w:line="240" w:lineRule="auto"/>
        <w:rPr>
          <w:rFonts w:ascii="Verdana" w:hAnsi="Verdana"/>
          <w:b/>
          <w:bCs/>
          <w:sz w:val="18"/>
          <w:szCs w:val="18"/>
        </w:rPr>
      </w:pPr>
      <w:r w:rsidRPr="00640A62">
        <w:rPr>
          <w:rFonts w:ascii="Verdana" w:hAnsi="Verdana"/>
          <w:b/>
          <w:bCs/>
          <w:sz w:val="18"/>
          <w:szCs w:val="18"/>
        </w:rPr>
        <w:t>Disclosure:</w:t>
      </w:r>
      <w:r w:rsidRPr="00640A62">
        <w:rPr>
          <w:rFonts w:ascii="Arial" w:hAnsi="Arial" w:cs="Arial"/>
          <w:b/>
          <w:bCs/>
          <w:sz w:val="18"/>
          <w:szCs w:val="18"/>
        </w:rPr>
        <w:t>​</w:t>
      </w:r>
      <w:r w:rsidRPr="00640A62">
        <w:rPr>
          <w:rFonts w:ascii="Verdana" w:hAnsi="Verdana"/>
          <w:b/>
          <w:bCs/>
          <w:sz w:val="18"/>
          <w:szCs w:val="18"/>
        </w:rPr>
        <w:t xml:space="preserve"> </w:t>
      </w:r>
      <w:r w:rsidRPr="00640A62" w:rsidR="000F2F52">
        <w:rPr>
          <w:rFonts w:ascii="Verdana" w:hAnsi="Verdana"/>
          <w:sz w:val="18"/>
          <w:szCs w:val="18"/>
        </w:rPr>
        <w:t>Grace Elsey-</w:t>
      </w:r>
      <w:r w:rsidRPr="00640A62" w:rsidR="000B21F9">
        <w:rPr>
          <w:rFonts w:ascii="Verdana" w:hAnsi="Verdana"/>
          <w:sz w:val="18"/>
          <w:szCs w:val="18"/>
        </w:rPr>
        <w:t xml:space="preserve">Consultant, </w:t>
      </w:r>
      <w:proofErr w:type="spellStart"/>
      <w:r w:rsidRPr="00640A62" w:rsidR="00640A62">
        <w:rPr>
          <w:rFonts w:ascii="Verdana" w:hAnsi="Verdana"/>
          <w:sz w:val="18"/>
          <w:szCs w:val="18"/>
        </w:rPr>
        <w:t>pegasparaginase</w:t>
      </w:r>
      <w:proofErr w:type="spellEnd"/>
      <w:r w:rsidRPr="00640A62" w:rsidR="00640A62">
        <w:rPr>
          <w:rFonts w:ascii="Verdana" w:hAnsi="Verdana"/>
          <w:sz w:val="18"/>
          <w:szCs w:val="18"/>
        </w:rPr>
        <w:t xml:space="preserve"> in ALL, </w:t>
      </w:r>
      <w:r w:rsidRPr="00640A62" w:rsidR="000B21F9">
        <w:rPr>
          <w:rFonts w:ascii="Verdana" w:hAnsi="Verdana"/>
          <w:sz w:val="18"/>
          <w:szCs w:val="18"/>
        </w:rPr>
        <w:t xml:space="preserve">Jazz </w:t>
      </w:r>
      <w:r w:rsidRPr="00640A62" w:rsidR="00B33DDF">
        <w:rPr>
          <w:rFonts w:ascii="Verdana" w:hAnsi="Verdana"/>
          <w:sz w:val="18"/>
          <w:szCs w:val="18"/>
        </w:rPr>
        <w:t>Pharmaceuticals.</w:t>
      </w:r>
      <w:r w:rsidRPr="00640A62" w:rsidR="00B33DDF">
        <w:rPr>
          <w:rFonts w:ascii="Verdana" w:hAnsi="Verdana"/>
          <w:b/>
          <w:bCs/>
          <w:sz w:val="18"/>
          <w:szCs w:val="18"/>
        </w:rPr>
        <w:t xml:space="preserve"> </w:t>
      </w:r>
      <w:r w:rsidRPr="00640A62">
        <w:rPr>
          <w:rFonts w:ascii="Verdana" w:hAnsi="Verdana"/>
          <w:sz w:val="18"/>
          <w:szCs w:val="18"/>
        </w:rPr>
        <w:t xml:space="preserve">The </w:t>
      </w:r>
      <w:r w:rsidRPr="00640A62" w:rsidR="00640A62">
        <w:rPr>
          <w:rFonts w:ascii="Verdana" w:hAnsi="Verdana"/>
          <w:sz w:val="18"/>
          <w:szCs w:val="18"/>
        </w:rPr>
        <w:t xml:space="preserve">other </w:t>
      </w:r>
      <w:r w:rsidRPr="00640A62">
        <w:rPr>
          <w:rFonts w:ascii="Verdana" w:hAnsi="Verdana"/>
          <w:sz w:val="18"/>
          <w:szCs w:val="18"/>
        </w:rPr>
        <w:t>planner(s) and speaker(s) have indicated that there are no relevant financial relationships with any ineligible companies to disclose.</w:t>
      </w:r>
      <w:r w:rsidRPr="00640A62">
        <w:rPr>
          <w:rFonts w:ascii="Verdana" w:hAnsi="Verdana"/>
          <w:b/>
          <w:bCs/>
          <w:sz w:val="18"/>
          <w:szCs w:val="18"/>
        </w:rPr>
        <w:t> </w:t>
      </w:r>
    </w:p>
    <w:p w:rsidRPr="002B002B" w:rsidR="003A1685" w:rsidP="00F65EA8" w:rsidRDefault="003A1685" w14:paraId="4B90D44C" w14:textId="7AF40B45">
      <w:pPr>
        <w:spacing w:line="240" w:lineRule="auto"/>
        <w:rPr>
          <w:rStyle w:val="Hyperlink"/>
          <w:rFonts w:ascii="Verdana" w:hAnsi="Verdana"/>
          <w:b/>
          <w:bCs/>
          <w:sz w:val="18"/>
          <w:szCs w:val="18"/>
        </w:rPr>
      </w:pPr>
      <w:r w:rsidRPr="00640A62">
        <w:rPr>
          <w:rFonts w:ascii="Verdana" w:hAnsi="Verdana"/>
          <w:b/>
          <w:bCs/>
          <w:sz w:val="18"/>
          <w:szCs w:val="18"/>
        </w:rPr>
        <w:t xml:space="preserve">Link to </w:t>
      </w:r>
      <w:r w:rsidR="007E1305">
        <w:rPr>
          <w:rFonts w:ascii="Verdana" w:hAnsi="Verdana"/>
          <w:b/>
          <w:bCs/>
          <w:sz w:val="18"/>
          <w:szCs w:val="18"/>
        </w:rPr>
        <w:t>Recorded</w:t>
      </w:r>
      <w:r w:rsidRPr="00640A62">
        <w:rPr>
          <w:rFonts w:ascii="Verdana" w:hAnsi="Verdana"/>
          <w:b/>
          <w:bCs/>
          <w:sz w:val="18"/>
          <w:szCs w:val="18"/>
        </w:rPr>
        <w:t xml:space="preserve"> Sessions: </w:t>
      </w:r>
      <w:r w:rsidR="002B002B">
        <w:rPr>
          <w:rFonts w:ascii="Verdana" w:hAnsi="Verdana"/>
          <w:b/>
          <w:bCs/>
          <w:sz w:val="18"/>
          <w:szCs w:val="18"/>
        </w:rPr>
        <w:fldChar w:fldCharType="begin"/>
      </w:r>
      <w:r w:rsidR="003546B0">
        <w:rPr>
          <w:rFonts w:ascii="Verdana" w:hAnsi="Verdana"/>
          <w:b/>
          <w:bCs/>
          <w:sz w:val="18"/>
          <w:szCs w:val="18"/>
        </w:rPr>
        <w:instrText>HYPERLINK "https://ce.advocatehealth.org/content/pharmacy-grand-rounds-recorded-sessions" \l "group-tabs-node-course-default2"</w:instrText>
      </w:r>
      <w:r w:rsidR="003546B0">
        <w:rPr>
          <w:rFonts w:ascii="Verdana" w:hAnsi="Verdana"/>
          <w:b/>
          <w:bCs/>
          <w:sz w:val="18"/>
          <w:szCs w:val="18"/>
        </w:rPr>
      </w:r>
      <w:r w:rsidR="002B002B">
        <w:rPr>
          <w:rFonts w:ascii="Verdana" w:hAnsi="Verdana"/>
          <w:b/>
          <w:bCs/>
          <w:sz w:val="18"/>
          <w:szCs w:val="18"/>
        </w:rPr>
        <w:fldChar w:fldCharType="separate"/>
      </w:r>
      <w:r w:rsidRPr="002B002B">
        <w:rPr>
          <w:rStyle w:val="Hyperlink"/>
          <w:rFonts w:ascii="Verdana" w:hAnsi="Verdana"/>
          <w:b/>
          <w:bCs/>
          <w:sz w:val="18"/>
          <w:szCs w:val="18"/>
        </w:rPr>
        <w:t xml:space="preserve">Pharmacy Grand Rounds </w:t>
      </w:r>
      <w:r w:rsidR="002B002B">
        <w:rPr>
          <w:rStyle w:val="Hyperlink"/>
          <w:rFonts w:ascii="Verdana" w:hAnsi="Verdana"/>
          <w:b/>
          <w:bCs/>
          <w:sz w:val="18"/>
          <w:szCs w:val="18"/>
        </w:rPr>
        <w:t>Recorded Sessions</w:t>
      </w:r>
    </w:p>
    <w:p w:rsidRPr="00640A62" w:rsidR="00900B72" w:rsidP="00F65EA8" w:rsidRDefault="002B002B" w14:paraId="23C08749" w14:textId="62294BFF">
      <w:pPr>
        <w:spacing w:line="240" w:lineRule="auto"/>
        <w:rPr>
          <w:rFonts w:ascii="Verdana" w:hAnsi="Verdana"/>
          <w:sz w:val="18"/>
          <w:szCs w:val="18"/>
        </w:rPr>
      </w:pPr>
      <w:r>
        <w:rPr>
          <w:rFonts w:ascii="Verdana" w:hAnsi="Verdana"/>
          <w:b/>
          <w:bCs/>
          <w:sz w:val="18"/>
          <w:szCs w:val="18"/>
        </w:rPr>
        <w:fldChar w:fldCharType="end"/>
      </w:r>
      <w:r w:rsidRPr="00640A62" w:rsidR="00F65EA8">
        <w:rPr>
          <w:rFonts w:ascii="Verdana" w:hAnsi="Verdana"/>
          <w:b/>
          <w:bCs/>
          <w:sz w:val="18"/>
          <w:szCs w:val="18"/>
        </w:rPr>
        <w:t xml:space="preserve">Commercial Support: </w:t>
      </w:r>
      <w:r w:rsidRPr="00640A62" w:rsidR="00F65EA8">
        <w:rPr>
          <w:rFonts w:ascii="Verdana" w:hAnsi="Verdana"/>
          <w:sz w:val="18"/>
          <w:szCs w:val="18"/>
        </w:rPr>
        <w:t>There is no financial support for th</w:t>
      </w:r>
      <w:r w:rsidRPr="00640A62" w:rsidR="00D8590F">
        <w:rPr>
          <w:rFonts w:ascii="Verdana" w:hAnsi="Verdana"/>
          <w:sz w:val="18"/>
          <w:szCs w:val="18"/>
        </w:rPr>
        <w:t>is</w:t>
      </w:r>
      <w:r w:rsidRPr="00640A62" w:rsidR="00F65EA8">
        <w:rPr>
          <w:rFonts w:ascii="Verdana" w:hAnsi="Verdana"/>
          <w:sz w:val="18"/>
          <w:szCs w:val="18"/>
        </w:rPr>
        <w:t xml:space="preserve"> activit</w:t>
      </w:r>
      <w:r w:rsidRPr="00640A62" w:rsidR="00D8590F">
        <w:rPr>
          <w:rFonts w:ascii="Verdana" w:hAnsi="Verdana"/>
          <w:sz w:val="18"/>
          <w:szCs w:val="18"/>
        </w:rPr>
        <w:t>y</w:t>
      </w:r>
      <w:r w:rsidRPr="00640A62" w:rsidR="00F65EA8">
        <w:rPr>
          <w:rFonts w:ascii="Verdana" w:hAnsi="Verdana"/>
          <w:sz w:val="18"/>
          <w:szCs w:val="18"/>
        </w:rPr>
        <w:t>.</w:t>
      </w:r>
    </w:p>
    <w:p w:rsidRPr="00640A62"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640A62">
        <w:rPr>
          <w:rStyle w:val="normaltextrun"/>
          <w:rFonts w:ascii="Verdana" w:hAnsi="Verdana" w:cstheme="minorHAnsi"/>
          <w:b/>
          <w:bCs/>
          <w:position w:val="-1"/>
          <w:sz w:val="18"/>
          <w:szCs w:val="18"/>
        </w:rPr>
        <w:t>Accreditation Statement</w:t>
      </w:r>
      <w:r w:rsidRPr="00640A62">
        <w:rPr>
          <w:rStyle w:val="eop"/>
          <w:rFonts w:ascii="Verdana" w:hAnsi="Verdana" w:cstheme="minorHAnsi"/>
          <w:sz w:val="18"/>
          <w:szCs w:val="18"/>
        </w:rPr>
        <w:t>:</w:t>
      </w:r>
    </w:p>
    <w:p w:rsidRPr="00640A62"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640A62" w:rsidR="000847D8" w:rsidTr="47A55E8E" w14:paraId="2B1D1D73" w14:textId="77777777">
        <w:tc>
          <w:tcPr>
            <w:tcW w:w="1838" w:type="dxa"/>
          </w:tcPr>
          <w:p w:rsidRPr="00640A62" w:rsidR="00E842EB" w:rsidP="000847D8" w:rsidRDefault="00E842EB" w14:paraId="2F8FB65E" w14:textId="64B1CEDD">
            <w:pPr>
              <w:textAlignment w:val="baseline"/>
              <w:rPr>
                <w:rFonts w:ascii="Verdana" w:hAnsi="Verdana" w:eastAsia="Times New Roman" w:cs="Univers 45 Light"/>
                <w:b/>
                <w:bCs/>
                <w:kern w:val="24"/>
                <w:sz w:val="18"/>
                <w:szCs w:val="18"/>
              </w:rPr>
            </w:pPr>
            <w:r w:rsidRPr="00640A62">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640A62" w:rsidR="00E842EB" w:rsidP="000847D8" w:rsidRDefault="00E842EB" w14:paraId="3753F650" w14:textId="6185D4D5">
            <w:pPr>
              <w:textAlignment w:val="baseline"/>
              <w:rPr>
                <w:rFonts w:ascii="Verdana" w:hAnsi="Verdana" w:eastAsia="Times New Roman" w:cs="Univers 45 Light"/>
                <w:b/>
                <w:bCs/>
                <w:kern w:val="24"/>
                <w:sz w:val="18"/>
                <w:szCs w:val="18"/>
              </w:rPr>
            </w:pPr>
            <w:r w:rsidRPr="00640A62">
              <w:rPr>
                <w:rFonts w:ascii="Verdana" w:hAnsi="Verdana" w:eastAsia="Times New Roman" w:cs="Univers 45 Light"/>
                <w:kern w:val="24"/>
                <w:sz w:val="18"/>
                <w:szCs w:val="18"/>
              </w:rPr>
              <w:t>In</w:t>
            </w:r>
            <w:r w:rsidRPr="00640A62">
              <w:rPr>
                <w:rFonts w:ascii="Verdana" w:hAnsi="Verdana" w:eastAsia="Times New Roman" w:cs="Univers 45 Light"/>
                <w:b/>
                <w:bCs/>
                <w:kern w:val="24"/>
                <w:sz w:val="18"/>
                <w:szCs w:val="18"/>
              </w:rPr>
              <w:t xml:space="preserve"> </w:t>
            </w:r>
            <w:r w:rsidRPr="00640A62">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640A62" w:rsidR="00780F49" w:rsidP="00780F49" w:rsidRDefault="00780F49" w14:paraId="03F3B2C0" w14:textId="77777777">
      <w:pPr>
        <w:spacing w:line="240" w:lineRule="auto"/>
        <w:textAlignment w:val="baseline"/>
        <w:rPr>
          <w:rFonts w:ascii="Verdana" w:hAnsi="Verdana" w:eastAsia="Times New Roman" w:cs="Segoe UI"/>
          <w:b/>
          <w:bCs/>
          <w:sz w:val="18"/>
          <w:szCs w:val="18"/>
        </w:rPr>
      </w:pPr>
    </w:p>
    <w:p w:rsidRPr="00640A62" w:rsidR="00F65EA8" w:rsidP="00780F49" w:rsidRDefault="0087352F" w14:paraId="64D47D5F" w14:textId="40C5EBCB">
      <w:pPr>
        <w:spacing w:line="240" w:lineRule="auto"/>
        <w:textAlignment w:val="baseline"/>
        <w:rPr>
          <w:rFonts w:eastAsia="Times New Roman" w:cs="Segoe UI"/>
          <w:sz w:val="18"/>
          <w:szCs w:val="18"/>
        </w:rPr>
      </w:pPr>
      <w:r w:rsidRPr="00640A62">
        <w:rPr>
          <w:rFonts w:ascii="Verdana" w:hAnsi="Verdana" w:eastAsia="Times New Roman" w:cs="Segoe UI"/>
          <w:b/>
          <w:bCs/>
          <w:sz w:val="18"/>
          <w:szCs w:val="18"/>
        </w:rPr>
        <w:t>Credit Statement(s): </w:t>
      </w:r>
    </w:p>
    <w:p w:rsidRPr="00640A62" w:rsidR="009F2459" w:rsidP="00780F49" w:rsidRDefault="00D61C7F" w14:paraId="6D8CED07" w14:textId="277A0090">
      <w:pPr>
        <w:pStyle w:val="BodyText"/>
        <w:rPr>
          <w:sz w:val="18"/>
          <w:szCs w:val="18"/>
        </w:rPr>
      </w:pPr>
      <w:r w:rsidRPr="00640A62">
        <w:rPr>
          <w:b/>
          <w:bCs/>
          <w:sz w:val="18"/>
          <w:szCs w:val="18"/>
        </w:rPr>
        <w:t>Accreditation Council for Pharmacy Education (ACPE):</w:t>
      </w:r>
      <w:r w:rsidRPr="00640A62">
        <w:rPr>
          <w:sz w:val="18"/>
          <w:szCs w:val="18"/>
        </w:rPr>
        <w:t xml:space="preserve"> </w:t>
      </w:r>
      <w:r w:rsidRPr="00640A62" w:rsidR="000847D8">
        <w:rPr>
          <w:sz w:val="18"/>
          <w:szCs w:val="18"/>
        </w:rPr>
        <w:br/>
      </w:r>
      <w:r w:rsidRPr="00640A62">
        <w:rPr>
          <w:sz w:val="18"/>
          <w:szCs w:val="18"/>
        </w:rPr>
        <w:t xml:space="preserve">Advocate Health designates this </w:t>
      </w:r>
      <w:r w:rsidR="007E1305">
        <w:rPr>
          <w:sz w:val="18"/>
          <w:szCs w:val="18"/>
        </w:rPr>
        <w:t>endur</w:t>
      </w:r>
      <w:r w:rsidR="009E25B8">
        <w:rPr>
          <w:sz w:val="18"/>
          <w:szCs w:val="18"/>
        </w:rPr>
        <w:t>ing</w:t>
      </w:r>
      <w:r w:rsidRPr="00640A62">
        <w:rPr>
          <w:sz w:val="18"/>
          <w:szCs w:val="18"/>
        </w:rPr>
        <w:t xml:space="preserve"> activity for a maximum of </w:t>
      </w:r>
      <w:r w:rsidRPr="00640A62" w:rsidR="00F65EA8">
        <w:rPr>
          <w:sz w:val="18"/>
          <w:szCs w:val="18"/>
        </w:rPr>
        <w:t>1</w:t>
      </w:r>
      <w:r w:rsidRPr="00640A62">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640A62">
        <w:rPr>
          <w:spacing w:val="6"/>
          <w:sz w:val="18"/>
          <w:szCs w:val="18"/>
        </w:rPr>
        <w:t xml:space="preserve"> </w:t>
      </w:r>
      <w:r w:rsidRPr="00640A62">
        <w:rPr>
          <w:sz w:val="18"/>
          <w:szCs w:val="18"/>
        </w:rPr>
        <w:t>activity.</w:t>
      </w:r>
      <w:r w:rsidRPr="00640A62" w:rsidR="009F2459">
        <w:rPr>
          <w:sz w:val="18"/>
          <w:szCs w:val="18"/>
        </w:rPr>
        <w:t xml:space="preserve"> </w:t>
      </w:r>
    </w:p>
    <w:p w:rsidRPr="00640A62" w:rsidR="00780F49" w:rsidP="00780F49" w:rsidRDefault="00780F49" w14:paraId="33F507FA" w14:textId="77777777">
      <w:pPr>
        <w:pStyle w:val="BodyText"/>
        <w:rPr>
          <w:sz w:val="18"/>
          <w:szCs w:val="18"/>
        </w:rPr>
      </w:pPr>
    </w:p>
    <w:p w:rsidRPr="009E25B8" w:rsidR="009F2459" w:rsidP="4B87D57C" w:rsidRDefault="009F2459" w14:paraId="5511C12E" w14:textId="7E5C05C7">
      <w:pPr>
        <w:pStyle w:val="BodyText"/>
        <w:rPr>
          <w:noProof w:val="0"/>
          <w:lang w:val="en-US"/>
        </w:rPr>
      </w:pPr>
      <w:r w:rsidRPr="4B87D57C" w:rsidR="009F2459">
        <w:rPr>
          <w:sz w:val="18"/>
          <w:szCs w:val="18"/>
        </w:rPr>
        <w:t xml:space="preserve">UAN: </w:t>
      </w:r>
      <w:r w:rsidRPr="4B87D57C" w:rsidR="4E42411E">
        <w:rPr>
          <w:rFonts w:ascii="Open Sans" w:hAnsi="Open Sans" w:eastAsia="Open Sans" w:cs="Open Sans"/>
          <w:b w:val="0"/>
          <w:bCs w:val="0"/>
          <w:i w:val="0"/>
          <w:iCs w:val="0"/>
          <w:caps w:val="0"/>
          <w:smallCaps w:val="0"/>
          <w:noProof w:val="0"/>
          <w:color w:val="373737"/>
          <w:sz w:val="18"/>
          <w:szCs w:val="18"/>
          <w:lang w:val="en-US"/>
        </w:rPr>
        <w:t>JA0006327-0000-26-023-H01-P</w:t>
      </w:r>
    </w:p>
    <w:p w:rsidRPr="00640A62" w:rsidR="00BE6140" w:rsidP="00BE6140" w:rsidRDefault="00BE6140" w14:paraId="0F478F7B" w14:textId="77777777">
      <w:pPr>
        <w:pStyle w:val="BodyText"/>
        <w:rPr>
          <w:sz w:val="18"/>
          <w:szCs w:val="18"/>
        </w:rPr>
      </w:pPr>
    </w:p>
    <w:p w:rsidRPr="00640A62" w:rsidR="00FB4480" w:rsidP="00BE6140" w:rsidRDefault="00FB4480" w14:paraId="1EBBE735" w14:textId="7A151CBD">
      <w:pPr>
        <w:pStyle w:val="BodyText"/>
        <w:rPr>
          <w:sz w:val="18"/>
          <w:szCs w:val="18"/>
        </w:rPr>
      </w:pPr>
      <w:r w:rsidRPr="00640A62">
        <w:rPr>
          <w:b/>
          <w:bCs/>
          <w:sz w:val="18"/>
          <w:szCs w:val="18"/>
        </w:rPr>
        <w:t>American Medical Association (AMA):</w:t>
      </w:r>
      <w:r w:rsidRPr="00640A62">
        <w:rPr>
          <w:sz w:val="18"/>
          <w:szCs w:val="18"/>
        </w:rPr>
        <w:t xml:space="preserve"> Advocate Health designates this </w:t>
      </w:r>
      <w:r w:rsidR="009E25B8">
        <w:rPr>
          <w:sz w:val="18"/>
          <w:szCs w:val="18"/>
        </w:rPr>
        <w:t>enduring</w:t>
      </w:r>
      <w:r w:rsidRPr="00640A62">
        <w:rPr>
          <w:sz w:val="18"/>
          <w:szCs w:val="18"/>
        </w:rPr>
        <w:t xml:space="preserve"> activity for a maximum </w:t>
      </w:r>
      <w:r w:rsidRPr="00640A62" w:rsidR="00E45F59">
        <w:rPr>
          <w:sz w:val="18"/>
          <w:szCs w:val="18"/>
        </w:rPr>
        <w:t>of 1.0</w:t>
      </w:r>
      <w:r w:rsidRPr="00640A62">
        <w:rPr>
          <w:sz w:val="18"/>
          <w:szCs w:val="18"/>
        </w:rPr>
        <w:t> </w:t>
      </w:r>
      <w:r w:rsidRPr="00640A62">
        <w:rPr>
          <w:i/>
          <w:iCs/>
          <w:sz w:val="18"/>
          <w:szCs w:val="18"/>
        </w:rPr>
        <w:t>AMA PRA Category 1 Credits™</w:t>
      </w:r>
      <w:r w:rsidRPr="00640A62">
        <w:rPr>
          <w:sz w:val="18"/>
          <w:szCs w:val="18"/>
        </w:rPr>
        <w:t>.  Physicians should claim only the credit commensurate with the extent of their participation in the activity. </w:t>
      </w:r>
    </w:p>
    <w:p w:rsidRPr="00640A62" w:rsidR="00BE6140" w:rsidP="00BE6140" w:rsidRDefault="00BE6140" w14:paraId="2AA3F0B4" w14:textId="77777777">
      <w:pPr>
        <w:pStyle w:val="BodyText"/>
        <w:rPr>
          <w:sz w:val="18"/>
          <w:szCs w:val="18"/>
        </w:rPr>
      </w:pPr>
    </w:p>
    <w:p w:rsidRPr="00640A62" w:rsidR="00556234" w:rsidP="00BE6140" w:rsidRDefault="00FB4480" w14:paraId="1C699A53" w14:textId="6E6DE3AF">
      <w:pPr>
        <w:pStyle w:val="BodyText"/>
        <w:rPr>
          <w:sz w:val="18"/>
          <w:szCs w:val="18"/>
        </w:rPr>
      </w:pPr>
      <w:r w:rsidRPr="00640A62">
        <w:rPr>
          <w:b/>
          <w:bCs/>
          <w:sz w:val="18"/>
          <w:szCs w:val="18"/>
        </w:rPr>
        <w:t>American Nurses Credentialing Center (ANCC):</w:t>
      </w:r>
      <w:r w:rsidRPr="00640A62">
        <w:rPr>
          <w:sz w:val="18"/>
          <w:szCs w:val="18"/>
        </w:rPr>
        <w:t xml:space="preserve"> Advocate Health designates this </w:t>
      </w:r>
      <w:r w:rsidR="009E25B8">
        <w:rPr>
          <w:sz w:val="18"/>
          <w:szCs w:val="18"/>
        </w:rPr>
        <w:t>enduring</w:t>
      </w:r>
      <w:r w:rsidRPr="00640A62">
        <w:rPr>
          <w:sz w:val="18"/>
          <w:szCs w:val="18"/>
        </w:rPr>
        <w:t xml:space="preserve"> activity for a maximum of 1.0 ANCC contact hours/APRN pharmacological hours. Nurses should claim only the credit commensurate with the extent of their participation in the activity. </w:t>
      </w:r>
    </w:p>
    <w:p w:rsidRPr="00640A62" w:rsidR="00BF4185" w:rsidP="00BE6140" w:rsidRDefault="00C45F68" w14:paraId="6F5DA2E0" w14:textId="480FACEB">
      <w:pPr>
        <w:pStyle w:val="BodyText"/>
        <w:rPr>
          <w:sz w:val="18"/>
          <w:szCs w:val="18"/>
        </w:rPr>
      </w:pPr>
      <w:r w:rsidRPr="00640A62">
        <w:rPr>
          <w:noProof/>
          <w:sz w:val="18"/>
          <w:szCs w:val="18"/>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Pr="00640A62" w:rsidR="00F65EA8">
        <w:rPr>
          <w:noProof/>
          <w:sz w:val="18"/>
          <w:szCs w:val="18"/>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1D608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p>
    <w:p w:rsidRPr="00640A62" w:rsidR="00BF4185" w:rsidP="00BF4185" w:rsidRDefault="00BF4185" w14:paraId="53F409D9" w14:textId="542AB2CE">
      <w:pPr>
        <w:tabs>
          <w:tab w:val="left" w:pos="3480"/>
        </w:tabs>
        <w:rPr>
          <w:rFonts w:ascii="Verdana" w:hAnsi="Verdana" w:eastAsia="Times New Roman" w:cs="Segoe UI"/>
          <w:sz w:val="18"/>
          <w:szCs w:val="18"/>
        </w:rPr>
      </w:pPr>
      <w:r w:rsidRPr="00640A62">
        <w:rPr>
          <w:rFonts w:ascii="Verdana" w:hAnsi="Verdana" w:eastAsia="Times New Roman" w:cs="Segoe UI"/>
          <w:sz w:val="18"/>
          <w:szCs w:val="18"/>
        </w:rPr>
        <w:tab/>
      </w:r>
    </w:p>
    <w:sectPr w:rsidRPr="00640A62" w:rsidR="00BF4185"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576" w:rsidP="00055B10" w:rsidRDefault="005E2576" w14:paraId="79DBFA22" w14:textId="77777777">
      <w:pPr>
        <w:spacing w:after="0" w:line="240" w:lineRule="auto"/>
      </w:pPr>
      <w:r>
        <w:separator/>
      </w:r>
    </w:p>
  </w:endnote>
  <w:endnote w:type="continuationSeparator" w:id="0">
    <w:p w:rsidR="005E2576" w:rsidP="00055B10" w:rsidRDefault="005E2576" w14:paraId="38D67A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576" w:rsidP="00055B10" w:rsidRDefault="005E2576" w14:paraId="59E961E6" w14:textId="77777777">
      <w:pPr>
        <w:spacing w:after="0" w:line="240" w:lineRule="auto"/>
      </w:pPr>
      <w:r>
        <w:separator/>
      </w:r>
    </w:p>
  </w:footnote>
  <w:footnote w:type="continuationSeparator" w:id="0">
    <w:p w:rsidR="005E2576" w:rsidP="00055B10" w:rsidRDefault="005E2576" w14:paraId="4435557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48E6506"/>
    <w:multiLevelType w:val="hybridMultilevel"/>
    <w:tmpl w:val="CD8AC150"/>
    <w:lvl w:ilvl="0" w:tplc="CADE1E28">
      <w:numFmt w:val="bullet"/>
      <w:lvlText w:val=""/>
      <w:lvlJc w:val="left"/>
      <w:pPr>
        <w:ind w:left="585" w:hanging="360"/>
      </w:pPr>
      <w:rPr>
        <w:rFonts w:hint="default" w:ascii="Symbol" w:hAnsi="Symbol" w:eastAsia="Symbol" w:cs="Symbol"/>
        <w:w w:val="100"/>
        <w:sz w:val="20"/>
        <w:szCs w:val="20"/>
        <w:lang w:val="en-US" w:eastAsia="en-US" w:bidi="en-US"/>
      </w:rPr>
    </w:lvl>
    <w:lvl w:ilvl="1" w:tplc="306C15C4">
      <w:start w:val="1"/>
      <w:numFmt w:val="decimal"/>
      <w:lvlText w:val="%2."/>
      <w:lvlJc w:val="left"/>
      <w:pPr>
        <w:ind w:left="1060" w:hanging="360"/>
      </w:pPr>
      <w:rPr>
        <w:rFonts w:hint="default" w:ascii="Arial" w:hAnsi="Arial" w:eastAsia="Arial" w:cs="Arial"/>
        <w:color w:val="006FC0"/>
        <w:spacing w:val="-3"/>
        <w:w w:val="100"/>
        <w:sz w:val="20"/>
        <w:szCs w:val="20"/>
        <w:lang w:val="en-US" w:eastAsia="en-US" w:bidi="en-US"/>
      </w:rPr>
    </w:lvl>
    <w:lvl w:ilvl="2" w:tplc="6EE234E8">
      <w:numFmt w:val="bullet"/>
      <w:lvlText w:val="•"/>
      <w:lvlJc w:val="left"/>
      <w:pPr>
        <w:ind w:left="2228" w:hanging="360"/>
      </w:pPr>
      <w:rPr>
        <w:rFonts w:hint="default"/>
        <w:lang w:val="en-US" w:eastAsia="en-US" w:bidi="en-US"/>
      </w:rPr>
    </w:lvl>
    <w:lvl w:ilvl="3" w:tplc="343C4916">
      <w:numFmt w:val="bullet"/>
      <w:lvlText w:val="•"/>
      <w:lvlJc w:val="left"/>
      <w:pPr>
        <w:ind w:left="3397" w:hanging="360"/>
      </w:pPr>
      <w:rPr>
        <w:rFonts w:hint="default"/>
        <w:lang w:val="en-US" w:eastAsia="en-US" w:bidi="en-US"/>
      </w:rPr>
    </w:lvl>
    <w:lvl w:ilvl="4" w:tplc="273813FA">
      <w:numFmt w:val="bullet"/>
      <w:lvlText w:val="•"/>
      <w:lvlJc w:val="left"/>
      <w:pPr>
        <w:ind w:left="4566" w:hanging="360"/>
      </w:pPr>
      <w:rPr>
        <w:rFonts w:hint="default"/>
        <w:lang w:val="en-US" w:eastAsia="en-US" w:bidi="en-US"/>
      </w:rPr>
    </w:lvl>
    <w:lvl w:ilvl="5" w:tplc="A19C7B56">
      <w:numFmt w:val="bullet"/>
      <w:lvlText w:val="•"/>
      <w:lvlJc w:val="left"/>
      <w:pPr>
        <w:ind w:left="5735" w:hanging="360"/>
      </w:pPr>
      <w:rPr>
        <w:rFonts w:hint="default"/>
        <w:lang w:val="en-US" w:eastAsia="en-US" w:bidi="en-US"/>
      </w:rPr>
    </w:lvl>
    <w:lvl w:ilvl="6" w:tplc="FF249182">
      <w:numFmt w:val="bullet"/>
      <w:lvlText w:val="•"/>
      <w:lvlJc w:val="left"/>
      <w:pPr>
        <w:ind w:left="6904" w:hanging="360"/>
      </w:pPr>
      <w:rPr>
        <w:rFonts w:hint="default"/>
        <w:lang w:val="en-US" w:eastAsia="en-US" w:bidi="en-US"/>
      </w:rPr>
    </w:lvl>
    <w:lvl w:ilvl="7" w:tplc="967EECD6">
      <w:numFmt w:val="bullet"/>
      <w:lvlText w:val="•"/>
      <w:lvlJc w:val="left"/>
      <w:pPr>
        <w:ind w:left="8073" w:hanging="360"/>
      </w:pPr>
      <w:rPr>
        <w:rFonts w:hint="default"/>
        <w:lang w:val="en-US" w:eastAsia="en-US" w:bidi="en-US"/>
      </w:rPr>
    </w:lvl>
    <w:lvl w:ilvl="8" w:tplc="61EAC2D8">
      <w:numFmt w:val="bullet"/>
      <w:lvlText w:val="•"/>
      <w:lvlJc w:val="left"/>
      <w:pPr>
        <w:ind w:left="9242" w:hanging="360"/>
      </w:pPr>
      <w:rPr>
        <w:rFonts w:hint="default"/>
        <w:lang w:val="en-US" w:eastAsia="en-US" w:bidi="en-US"/>
      </w:rPr>
    </w:lvl>
  </w:abstractNum>
  <w:abstractNum w:abstractNumId="28"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29"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B4274E"/>
    <w:multiLevelType w:val="hybridMultilevel"/>
    <w:tmpl w:val="30BC1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18"/>
  </w:num>
  <w:num w:numId="2" w16cid:durableId="161354219">
    <w:abstractNumId w:val="11"/>
  </w:num>
  <w:num w:numId="3" w16cid:durableId="367529949">
    <w:abstractNumId w:val="17"/>
  </w:num>
  <w:num w:numId="4" w16cid:durableId="2113237724">
    <w:abstractNumId w:val="1"/>
  </w:num>
  <w:num w:numId="5" w16cid:durableId="1420172599">
    <w:abstractNumId w:val="3"/>
  </w:num>
  <w:num w:numId="6" w16cid:durableId="1278486410">
    <w:abstractNumId w:val="6"/>
  </w:num>
  <w:num w:numId="7" w16cid:durableId="1918974587">
    <w:abstractNumId w:val="28"/>
  </w:num>
  <w:num w:numId="8" w16cid:durableId="1066414557">
    <w:abstractNumId w:val="13"/>
  </w:num>
  <w:num w:numId="9" w16cid:durableId="1662925891">
    <w:abstractNumId w:val="22"/>
  </w:num>
  <w:num w:numId="10" w16cid:durableId="678048633">
    <w:abstractNumId w:val="26"/>
  </w:num>
  <w:num w:numId="11" w16cid:durableId="1710643530">
    <w:abstractNumId w:val="16"/>
  </w:num>
  <w:num w:numId="12" w16cid:durableId="1014963863">
    <w:abstractNumId w:val="19"/>
  </w:num>
  <w:num w:numId="13" w16cid:durableId="1855924810">
    <w:abstractNumId w:val="25"/>
  </w:num>
  <w:num w:numId="14" w16cid:durableId="1070882303">
    <w:abstractNumId w:val="23"/>
  </w:num>
  <w:num w:numId="15" w16cid:durableId="1279794217">
    <w:abstractNumId w:val="2"/>
  </w:num>
  <w:num w:numId="16" w16cid:durableId="1450009621">
    <w:abstractNumId w:val="21"/>
  </w:num>
  <w:num w:numId="17" w16cid:durableId="1366834961">
    <w:abstractNumId w:val="24"/>
  </w:num>
  <w:num w:numId="18" w16cid:durableId="1591280853">
    <w:abstractNumId w:val="33"/>
  </w:num>
  <w:num w:numId="19" w16cid:durableId="1209731318">
    <w:abstractNumId w:val="31"/>
  </w:num>
  <w:num w:numId="20" w16cid:durableId="1741556706">
    <w:abstractNumId w:val="4"/>
  </w:num>
  <w:num w:numId="21" w16cid:durableId="1032803811">
    <w:abstractNumId w:val="14"/>
  </w:num>
  <w:num w:numId="22" w16cid:durableId="2062900194">
    <w:abstractNumId w:val="10"/>
  </w:num>
  <w:num w:numId="23" w16cid:durableId="1507281094">
    <w:abstractNumId w:val="5"/>
  </w:num>
  <w:num w:numId="24" w16cid:durableId="1392657342">
    <w:abstractNumId w:val="32"/>
  </w:num>
  <w:num w:numId="25" w16cid:durableId="1797025421">
    <w:abstractNumId w:val="8"/>
  </w:num>
  <w:num w:numId="26" w16cid:durableId="333345465">
    <w:abstractNumId w:val="29"/>
  </w:num>
  <w:num w:numId="27" w16cid:durableId="1804930468">
    <w:abstractNumId w:val="0"/>
  </w:num>
  <w:num w:numId="28" w16cid:durableId="1922979966">
    <w:abstractNumId w:val="15"/>
  </w:num>
  <w:num w:numId="29" w16cid:durableId="279337811">
    <w:abstractNumId w:val="9"/>
  </w:num>
  <w:num w:numId="30" w16cid:durableId="2000035843">
    <w:abstractNumId w:val="20"/>
  </w:num>
  <w:num w:numId="31" w16cid:durableId="568999410">
    <w:abstractNumId w:val="12"/>
  </w:num>
  <w:num w:numId="32" w16cid:durableId="215509822">
    <w:abstractNumId w:val="7"/>
  </w:num>
  <w:num w:numId="33" w16cid:durableId="495419374">
    <w:abstractNumId w:val="27"/>
  </w:num>
  <w:num w:numId="34" w16cid:durableId="1414347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7413"/>
    <w:rsid w:val="000847D8"/>
    <w:rsid w:val="000A23CA"/>
    <w:rsid w:val="000A2A61"/>
    <w:rsid w:val="000A695F"/>
    <w:rsid w:val="000A797A"/>
    <w:rsid w:val="000B21F9"/>
    <w:rsid w:val="000B58E0"/>
    <w:rsid w:val="000C1DF6"/>
    <w:rsid w:val="000C47AB"/>
    <w:rsid w:val="000C77C2"/>
    <w:rsid w:val="000D6336"/>
    <w:rsid w:val="000F2F52"/>
    <w:rsid w:val="000F7CD3"/>
    <w:rsid w:val="00123722"/>
    <w:rsid w:val="00136BB9"/>
    <w:rsid w:val="001474D0"/>
    <w:rsid w:val="00164A94"/>
    <w:rsid w:val="00167ED2"/>
    <w:rsid w:val="00175EBB"/>
    <w:rsid w:val="001774E7"/>
    <w:rsid w:val="0018421C"/>
    <w:rsid w:val="0018486C"/>
    <w:rsid w:val="001A0DC5"/>
    <w:rsid w:val="001A0F37"/>
    <w:rsid w:val="001D5D69"/>
    <w:rsid w:val="00204974"/>
    <w:rsid w:val="00221947"/>
    <w:rsid w:val="00224AB6"/>
    <w:rsid w:val="00236B9A"/>
    <w:rsid w:val="00252416"/>
    <w:rsid w:val="002A7E3A"/>
    <w:rsid w:val="002B002B"/>
    <w:rsid w:val="002B1714"/>
    <w:rsid w:val="002C196A"/>
    <w:rsid w:val="002D43F3"/>
    <w:rsid w:val="002D65CD"/>
    <w:rsid w:val="00311774"/>
    <w:rsid w:val="00322A54"/>
    <w:rsid w:val="00325B86"/>
    <w:rsid w:val="00336689"/>
    <w:rsid w:val="00337147"/>
    <w:rsid w:val="00337CFE"/>
    <w:rsid w:val="00352F3E"/>
    <w:rsid w:val="003546B0"/>
    <w:rsid w:val="00363494"/>
    <w:rsid w:val="00363949"/>
    <w:rsid w:val="00375E6A"/>
    <w:rsid w:val="00380B86"/>
    <w:rsid w:val="00385746"/>
    <w:rsid w:val="00387C4E"/>
    <w:rsid w:val="00391011"/>
    <w:rsid w:val="00397256"/>
    <w:rsid w:val="003A1685"/>
    <w:rsid w:val="003A7AD8"/>
    <w:rsid w:val="003D00E1"/>
    <w:rsid w:val="003D0265"/>
    <w:rsid w:val="003D08D5"/>
    <w:rsid w:val="003D2E24"/>
    <w:rsid w:val="003D37EF"/>
    <w:rsid w:val="003E51CF"/>
    <w:rsid w:val="003F074C"/>
    <w:rsid w:val="00400B6C"/>
    <w:rsid w:val="0040296F"/>
    <w:rsid w:val="00405269"/>
    <w:rsid w:val="00406851"/>
    <w:rsid w:val="00416BF9"/>
    <w:rsid w:val="00430AF0"/>
    <w:rsid w:val="00434450"/>
    <w:rsid w:val="00446663"/>
    <w:rsid w:val="00446FFE"/>
    <w:rsid w:val="00451F9C"/>
    <w:rsid w:val="00460863"/>
    <w:rsid w:val="00463271"/>
    <w:rsid w:val="00471648"/>
    <w:rsid w:val="00473534"/>
    <w:rsid w:val="00482FC7"/>
    <w:rsid w:val="004942A3"/>
    <w:rsid w:val="004A4AA1"/>
    <w:rsid w:val="004B78FD"/>
    <w:rsid w:val="004C7395"/>
    <w:rsid w:val="004D0FF0"/>
    <w:rsid w:val="004E1183"/>
    <w:rsid w:val="0050083B"/>
    <w:rsid w:val="005117E0"/>
    <w:rsid w:val="00556234"/>
    <w:rsid w:val="00565174"/>
    <w:rsid w:val="00567102"/>
    <w:rsid w:val="005721B0"/>
    <w:rsid w:val="005773FC"/>
    <w:rsid w:val="00585244"/>
    <w:rsid w:val="00594A89"/>
    <w:rsid w:val="005B551C"/>
    <w:rsid w:val="005C089E"/>
    <w:rsid w:val="005C315D"/>
    <w:rsid w:val="005E13F2"/>
    <w:rsid w:val="005E1D1C"/>
    <w:rsid w:val="005E2576"/>
    <w:rsid w:val="005E7E36"/>
    <w:rsid w:val="005F217F"/>
    <w:rsid w:val="005F3CDB"/>
    <w:rsid w:val="00601683"/>
    <w:rsid w:val="00616C31"/>
    <w:rsid w:val="00621013"/>
    <w:rsid w:val="0062327A"/>
    <w:rsid w:val="00634E85"/>
    <w:rsid w:val="00640A62"/>
    <w:rsid w:val="00647BBC"/>
    <w:rsid w:val="0065650A"/>
    <w:rsid w:val="006570D6"/>
    <w:rsid w:val="00663639"/>
    <w:rsid w:val="006749FD"/>
    <w:rsid w:val="006878F1"/>
    <w:rsid w:val="00691F4D"/>
    <w:rsid w:val="006972D5"/>
    <w:rsid w:val="006A263A"/>
    <w:rsid w:val="006A49D8"/>
    <w:rsid w:val="006A5755"/>
    <w:rsid w:val="006A5B7E"/>
    <w:rsid w:val="006E5BF1"/>
    <w:rsid w:val="006F0193"/>
    <w:rsid w:val="006F2CB3"/>
    <w:rsid w:val="006F75ED"/>
    <w:rsid w:val="00703E29"/>
    <w:rsid w:val="007346C8"/>
    <w:rsid w:val="00743969"/>
    <w:rsid w:val="007751FD"/>
    <w:rsid w:val="0077571D"/>
    <w:rsid w:val="00780F49"/>
    <w:rsid w:val="00790717"/>
    <w:rsid w:val="007A0DDD"/>
    <w:rsid w:val="007A5373"/>
    <w:rsid w:val="007A74F0"/>
    <w:rsid w:val="007B12B8"/>
    <w:rsid w:val="007C306F"/>
    <w:rsid w:val="007D0F37"/>
    <w:rsid w:val="007D39C6"/>
    <w:rsid w:val="007E1305"/>
    <w:rsid w:val="007F6EAA"/>
    <w:rsid w:val="00804367"/>
    <w:rsid w:val="008053D0"/>
    <w:rsid w:val="0080720D"/>
    <w:rsid w:val="008160DB"/>
    <w:rsid w:val="00824E25"/>
    <w:rsid w:val="00831F59"/>
    <w:rsid w:val="008323E9"/>
    <w:rsid w:val="0083370B"/>
    <w:rsid w:val="008430D8"/>
    <w:rsid w:val="00864137"/>
    <w:rsid w:val="0087352F"/>
    <w:rsid w:val="00874037"/>
    <w:rsid w:val="008832A2"/>
    <w:rsid w:val="008911DB"/>
    <w:rsid w:val="008A2311"/>
    <w:rsid w:val="008B49B6"/>
    <w:rsid w:val="008B5743"/>
    <w:rsid w:val="008D004F"/>
    <w:rsid w:val="008D376A"/>
    <w:rsid w:val="009005E8"/>
    <w:rsid w:val="00900B72"/>
    <w:rsid w:val="00914EB6"/>
    <w:rsid w:val="00944023"/>
    <w:rsid w:val="009543B8"/>
    <w:rsid w:val="00955A2A"/>
    <w:rsid w:val="00964945"/>
    <w:rsid w:val="009C0BC6"/>
    <w:rsid w:val="009D65D9"/>
    <w:rsid w:val="009E10D1"/>
    <w:rsid w:val="009E25B8"/>
    <w:rsid w:val="009F008B"/>
    <w:rsid w:val="009F2459"/>
    <w:rsid w:val="009F694F"/>
    <w:rsid w:val="00A12DA0"/>
    <w:rsid w:val="00A241B1"/>
    <w:rsid w:val="00A26E52"/>
    <w:rsid w:val="00A30025"/>
    <w:rsid w:val="00A37ABF"/>
    <w:rsid w:val="00A47804"/>
    <w:rsid w:val="00A610E7"/>
    <w:rsid w:val="00A76075"/>
    <w:rsid w:val="00A771A6"/>
    <w:rsid w:val="00AB1AF9"/>
    <w:rsid w:val="00AE337A"/>
    <w:rsid w:val="00AE4CAD"/>
    <w:rsid w:val="00AF7D9A"/>
    <w:rsid w:val="00B03201"/>
    <w:rsid w:val="00B03F7B"/>
    <w:rsid w:val="00B2291F"/>
    <w:rsid w:val="00B3243B"/>
    <w:rsid w:val="00B33DDF"/>
    <w:rsid w:val="00B45C82"/>
    <w:rsid w:val="00B4607E"/>
    <w:rsid w:val="00B50CE9"/>
    <w:rsid w:val="00B5431E"/>
    <w:rsid w:val="00B621ED"/>
    <w:rsid w:val="00B70108"/>
    <w:rsid w:val="00B75520"/>
    <w:rsid w:val="00B807D5"/>
    <w:rsid w:val="00B81ACD"/>
    <w:rsid w:val="00B83945"/>
    <w:rsid w:val="00B84456"/>
    <w:rsid w:val="00B97676"/>
    <w:rsid w:val="00B97706"/>
    <w:rsid w:val="00BB31ED"/>
    <w:rsid w:val="00BB5125"/>
    <w:rsid w:val="00BB63B9"/>
    <w:rsid w:val="00BD5170"/>
    <w:rsid w:val="00BE23DE"/>
    <w:rsid w:val="00BE6140"/>
    <w:rsid w:val="00BF2660"/>
    <w:rsid w:val="00BF4185"/>
    <w:rsid w:val="00BF70CD"/>
    <w:rsid w:val="00C05E8F"/>
    <w:rsid w:val="00C062C4"/>
    <w:rsid w:val="00C1436E"/>
    <w:rsid w:val="00C25711"/>
    <w:rsid w:val="00C41379"/>
    <w:rsid w:val="00C43F1B"/>
    <w:rsid w:val="00C45F68"/>
    <w:rsid w:val="00C5432F"/>
    <w:rsid w:val="00C706A4"/>
    <w:rsid w:val="00C87FDC"/>
    <w:rsid w:val="00C945C2"/>
    <w:rsid w:val="00CB0B5B"/>
    <w:rsid w:val="00CD1372"/>
    <w:rsid w:val="00CF51C6"/>
    <w:rsid w:val="00CF5C71"/>
    <w:rsid w:val="00D13FB7"/>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C53E4"/>
    <w:rsid w:val="00DF42CE"/>
    <w:rsid w:val="00DF46F1"/>
    <w:rsid w:val="00E131F5"/>
    <w:rsid w:val="00E21209"/>
    <w:rsid w:val="00E2152E"/>
    <w:rsid w:val="00E24ABE"/>
    <w:rsid w:val="00E377C7"/>
    <w:rsid w:val="00E45F59"/>
    <w:rsid w:val="00E5477E"/>
    <w:rsid w:val="00E563E6"/>
    <w:rsid w:val="00E70BD7"/>
    <w:rsid w:val="00E74B71"/>
    <w:rsid w:val="00E74FC8"/>
    <w:rsid w:val="00E81A15"/>
    <w:rsid w:val="00E842EB"/>
    <w:rsid w:val="00E965A0"/>
    <w:rsid w:val="00EA0C61"/>
    <w:rsid w:val="00EA679F"/>
    <w:rsid w:val="00EA7AE4"/>
    <w:rsid w:val="00EB63F4"/>
    <w:rsid w:val="00EC18D4"/>
    <w:rsid w:val="00EE05F1"/>
    <w:rsid w:val="00EE4ECF"/>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4B87D57C"/>
    <w:rsid w:val="4E42411E"/>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354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No</Tes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01B7D-EF35-41DB-9312-610A1B87C880}"/>
</file>

<file path=customXml/itemProps2.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3.xml><?xml version="1.0" encoding="utf-8"?>
<ds:datastoreItem xmlns:ds="http://schemas.openxmlformats.org/officeDocument/2006/customXml" ds:itemID="{05C8E988-56DF-42B9-865B-7C463907EB07}">
  <ds:schemaRef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fee0cfbf-68bb-4b82-baa8-5d7412a94942"/>
    <ds:schemaRef ds:uri="http://schemas.openxmlformats.org/package/2006/metadata/core-properties"/>
    <ds:schemaRef ds:uri="d25e7cbc-e328-4fe9-b7ce-479d4d01adb9"/>
    <ds:schemaRef ds:uri="http://schemas.microsoft.com/office/2006/metadata/properties"/>
  </ds:schemaRefs>
</ds:datastoreItem>
</file>

<file path=customXml/itemProps4.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Standish, Jen</cp:lastModifiedBy>
  <cp:revision>8</cp:revision>
  <dcterms:created xsi:type="dcterms:W3CDTF">2026-01-15T19:31:00Z</dcterms:created>
  <dcterms:modified xsi:type="dcterms:W3CDTF">2026-01-20T22:24:47Z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