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EBF5" w14:textId="2D600623" w:rsidR="004A3B60" w:rsidRPr="00A12E6C" w:rsidRDefault="004A3B60" w:rsidP="004A3B60">
      <w:pPr>
        <w:spacing w:after="0" w:line="25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E6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12E6C">
        <w:rPr>
          <w:rFonts w:ascii="Times New Roman" w:hAnsi="Times New Roman" w:cs="Times New Roman"/>
          <w:b/>
          <w:sz w:val="20"/>
          <w:szCs w:val="20"/>
        </w:rPr>
        <w:t>th Annual Pulmonary Hypertension Symposium</w:t>
      </w:r>
    </w:p>
    <w:p w14:paraId="7948E25A" w14:textId="4A4F5736" w:rsidR="004A3B60" w:rsidRPr="00A12E6C" w:rsidRDefault="004A3B60" w:rsidP="004A3B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E6C">
        <w:rPr>
          <w:rFonts w:ascii="Times New Roman" w:hAnsi="Times New Roman" w:cs="Times New Roman"/>
          <w:b/>
          <w:sz w:val="20"/>
          <w:szCs w:val="20"/>
        </w:rPr>
        <w:t xml:space="preserve">October </w:t>
      </w:r>
      <w:r>
        <w:rPr>
          <w:rFonts w:ascii="Times New Roman" w:hAnsi="Times New Roman" w:cs="Times New Roman"/>
          <w:b/>
          <w:sz w:val="20"/>
          <w:szCs w:val="20"/>
        </w:rPr>
        <w:t>1, 2021</w:t>
      </w:r>
    </w:p>
    <w:p w14:paraId="7C209A6A" w14:textId="77777777" w:rsidR="004A3B60" w:rsidRPr="00A12E6C" w:rsidRDefault="004A3B60" w:rsidP="004A3B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E6C">
        <w:rPr>
          <w:rFonts w:ascii="Times New Roman" w:hAnsi="Times New Roman" w:cs="Times New Roman"/>
          <w:sz w:val="20"/>
          <w:szCs w:val="20"/>
          <w:u w:val="single"/>
        </w:rPr>
        <w:t>BIBLIOGRAPHY</w:t>
      </w:r>
    </w:p>
    <w:p w14:paraId="2F05DF30" w14:textId="15697C62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Aronow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, W. (2016). Faculty Opinions recommendation of Long-Term Outcome of Patients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Chronic Thromboembolic Pulmonary Hypertension: Results From an International Prospective Registry.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Faculty Opinions – Post-Publication Peer Review of the Biomedical Literature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. doi:10.3410/f.726109266.793523031</w:t>
      </w:r>
    </w:p>
    <w:p w14:paraId="0F4FF481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Auger, W. R., &amp; Gopalan, D. (2020).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Clinical cases in chronic thromboembolic pulmonary hypertension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. Cham, Switzerland: Springer.</w:t>
      </w:r>
    </w:p>
    <w:p w14:paraId="0963B7F5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Auger, W. R. (2020). Surgical and Percutaneous Interventions for Chronic Thromboembolic Pulmonary Hypertension.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Cardiology Clinics,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38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(2), 257-268.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doi:10.1016/j.ccl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.2020.01.003</w:t>
      </w:r>
    </w:p>
    <w:p w14:paraId="2781B42E" w14:textId="46769CAE" w:rsidR="005D3048" w:rsidRPr="00370F34" w:rsidRDefault="005D3048" w:rsidP="00370F34">
      <w:pPr>
        <w:pStyle w:val="ListParagraph"/>
        <w:spacing w:line="480" w:lineRule="auto"/>
        <w:ind w:left="0" w:hanging="270"/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</w:pP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Dalto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M.,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Bossone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E.,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Opotowsky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A. R.,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Ghio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S.,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Rudski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L. G., &amp;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Naeije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, R. (2018). Strengths and weaknesses of echocardiography for the diagnosis of pulmonary hypertension. </w:t>
      </w:r>
      <w:r w:rsidRPr="00C02951">
        <w:rPr>
          <w:rFonts w:ascii="Times New Roman" w:hAnsi="Times New Roman" w:cs="Times New Roman"/>
          <w:i/>
          <w:iCs/>
          <w:color w:val="323232"/>
          <w:sz w:val="20"/>
          <w:szCs w:val="20"/>
        </w:rPr>
        <w:t>International Journal of Cardiology,</w:t>
      </w:r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 </w:t>
      </w:r>
      <w:r w:rsidRPr="00C02951">
        <w:rPr>
          <w:rFonts w:ascii="Times New Roman" w:hAnsi="Times New Roman" w:cs="Times New Roman"/>
          <w:i/>
          <w:iCs/>
          <w:color w:val="323232"/>
          <w:sz w:val="20"/>
          <w:szCs w:val="20"/>
        </w:rPr>
        <w:t>263</w:t>
      </w:r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177-183. </w:t>
      </w:r>
      <w:proofErr w:type="gram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doi:10.1016/j.ijcard</w:t>
      </w:r>
      <w:proofErr w:type="gram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.2018.04.024</w:t>
      </w:r>
    </w:p>
    <w:p w14:paraId="6715DB15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Gibbs, J. S., &amp; </w:t>
      </w: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Sitbon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, O. (2018). Center-based Care for Pulmonary Hypertension: A European Perspective.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16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(4), 170-174. doi:10.21693/1933-088x-16.4.170</w:t>
      </w:r>
    </w:p>
    <w:p w14:paraId="4C829D3A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Gray, M. P., Onyeador, O., &amp; Wirth, J. A. (2018). Update on the PHA Pulmonary Hypertension Care Center Network: Early Experience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the National Accreditation Program.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16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(4), 179-184. doi:10.21693/1933-088x-16.4.179</w:t>
      </w:r>
    </w:p>
    <w:p w14:paraId="773FD717" w14:textId="77777777" w:rsidR="00370F34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Harris, H., &amp; </w:t>
      </w: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Bockhold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, C. R. (2014). Improving outcomes for pulmonary hypertension.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Nursing Critical Care,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9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(1), 32-40.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doi:10.1097/01.ccn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.0000438650.36495.24</w:t>
      </w:r>
    </w:p>
    <w:p w14:paraId="13A45066" w14:textId="397A2711" w:rsidR="00370F34" w:rsidRPr="00370F34" w:rsidRDefault="005D3048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A12E6C">
        <w:rPr>
          <w:rFonts w:ascii="Times New Roman" w:hAnsi="Times New Roman" w:cs="Times New Roman"/>
          <w:bCs/>
          <w:sz w:val="20"/>
          <w:szCs w:val="20"/>
        </w:rPr>
        <w:t xml:space="preserve">Huston JH, Maron BA, French J, et al. Association of Mild Echocardiographic Pulmonary Hypertension </w:t>
      </w:r>
      <w:proofErr w:type="gramStart"/>
      <w:r w:rsidRPr="00A12E6C">
        <w:rPr>
          <w:rFonts w:ascii="Times New Roman" w:hAnsi="Times New Roman" w:cs="Times New Roman"/>
          <w:bCs/>
          <w:sz w:val="20"/>
          <w:szCs w:val="20"/>
        </w:rPr>
        <w:t>With</w:t>
      </w:r>
      <w:proofErr w:type="gramEnd"/>
      <w:r w:rsidRPr="00A12E6C">
        <w:rPr>
          <w:rFonts w:ascii="Times New Roman" w:hAnsi="Times New Roman" w:cs="Times New Roman"/>
          <w:bCs/>
          <w:sz w:val="20"/>
          <w:szCs w:val="20"/>
        </w:rPr>
        <w:t xml:space="preserve"> Mortality and Right Ventricular Function. JAMA </w:t>
      </w:r>
      <w:proofErr w:type="spellStart"/>
      <w:r w:rsidRPr="00A12E6C">
        <w:rPr>
          <w:rFonts w:ascii="Times New Roman" w:hAnsi="Times New Roman" w:cs="Times New Roman"/>
          <w:bCs/>
          <w:sz w:val="20"/>
          <w:szCs w:val="20"/>
        </w:rPr>
        <w:t>Cardiol</w:t>
      </w:r>
      <w:proofErr w:type="spellEnd"/>
      <w:r w:rsidRPr="00A12E6C">
        <w:rPr>
          <w:rFonts w:ascii="Times New Roman" w:hAnsi="Times New Roman" w:cs="Times New Roman"/>
          <w:bCs/>
          <w:sz w:val="20"/>
          <w:szCs w:val="20"/>
        </w:rPr>
        <w:t>. 2019;4(11):1112–1121. doi:10.1001/jamacardio.2019.3345</w:t>
      </w:r>
    </w:p>
    <w:p w14:paraId="16327B5D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Kerr, K., Auger, W., &amp; </w:t>
      </w: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Madani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, M. (2015). United States Chronic Thromboembolic Pulmonary Hypertension Registry.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Chest,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148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(4). doi:10.1378/chest.2260222</w:t>
      </w:r>
    </w:p>
    <w:p w14:paraId="0702EC5E" w14:textId="29B34E84" w:rsidR="00370F34" w:rsidRPr="00A12E6C" w:rsidRDefault="00370F34" w:rsidP="00370F34">
      <w:pPr>
        <w:pStyle w:val="ListParagraph"/>
        <w:tabs>
          <w:tab w:val="left" w:pos="1350"/>
        </w:tabs>
        <w:spacing w:line="480" w:lineRule="auto"/>
        <w:ind w:left="360" w:hanging="720"/>
        <w:rPr>
          <w:rFonts w:ascii="Times New Roman" w:hAnsi="Times New Roman" w:cs="Times New Roman"/>
          <w:bCs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Kerr, K. M., &amp; Auger, W. R. (2020). Medical, Endovascular, and Surgical Treatment</w:t>
      </w:r>
    </w:p>
    <w:p w14:paraId="29E524B7" w14:textId="5F3F2D11" w:rsidR="005D3048" w:rsidRPr="004337D3" w:rsidRDefault="005D3048" w:rsidP="004337D3">
      <w:pPr>
        <w:pStyle w:val="ListParagraph"/>
        <w:spacing w:line="480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 w:rsidRPr="00A12E6C">
        <w:rPr>
          <w:rFonts w:ascii="Times New Roman" w:hAnsi="Times New Roman" w:cs="Times New Roman"/>
          <w:bCs/>
          <w:sz w:val="20"/>
          <w:szCs w:val="20"/>
        </w:rPr>
        <w:lastRenderedPageBreak/>
        <w:t>Mehmood M. Echocardiographic Pulmonary Hypertension and Right Heart Function—The Big Picture. JAMA</w:t>
      </w:r>
      <w:r w:rsidR="00370F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2E6C">
        <w:rPr>
          <w:rFonts w:ascii="Times New Roman" w:hAnsi="Times New Roman" w:cs="Times New Roman"/>
          <w:bCs/>
          <w:sz w:val="20"/>
          <w:szCs w:val="20"/>
        </w:rPr>
        <w:t>Cardiol</w:t>
      </w:r>
      <w:proofErr w:type="spellEnd"/>
      <w:r w:rsidRPr="00A12E6C">
        <w:rPr>
          <w:rFonts w:ascii="Times New Roman" w:hAnsi="Times New Roman" w:cs="Times New Roman"/>
          <w:bCs/>
          <w:sz w:val="20"/>
          <w:szCs w:val="20"/>
        </w:rPr>
        <w:t>. 2020;5(5):612–613. doi:10.1001/jamacardio.2020.0322</w:t>
      </w:r>
    </w:p>
    <w:p w14:paraId="56BE5B5E" w14:textId="77777777" w:rsidR="005D3048" w:rsidRPr="00A12E6C" w:rsidRDefault="005D3048" w:rsidP="00370F34">
      <w:pPr>
        <w:pStyle w:val="ListParagraph"/>
        <w:spacing w:line="480" w:lineRule="auto"/>
        <w:ind w:left="360" w:hanging="720"/>
        <w:rPr>
          <w:rFonts w:ascii="Times New Roman" w:hAnsi="Times New Roman" w:cs="Times New Roman"/>
          <w:bCs/>
          <w:sz w:val="20"/>
          <w:szCs w:val="20"/>
        </w:rPr>
      </w:pPr>
      <w:r w:rsidRPr="00A12E6C">
        <w:rPr>
          <w:rFonts w:ascii="Times New Roman" w:hAnsi="Times New Roman" w:cs="Times New Roman"/>
          <w:bCs/>
          <w:sz w:val="20"/>
          <w:szCs w:val="20"/>
        </w:rPr>
        <w:t>Narang, A., &amp; Freed, B. H. (2019). The Future of Imaging in Pulmonary Hypertension: Better Assessment of Structure, Function, and Flow. Advances in Pulmonary Hypertension, 18(4), 126-133. doi:10.21693/1933-088x-18.4.126</w:t>
      </w:r>
    </w:p>
    <w:p w14:paraId="7EFFCBB9" w14:textId="4A3441C0" w:rsidR="005D3048" w:rsidRDefault="005D3048" w:rsidP="00370F34">
      <w:pPr>
        <w:pStyle w:val="ListParagraph"/>
        <w:spacing w:line="480" w:lineRule="auto"/>
        <w:ind w:left="360" w:hanging="720"/>
        <w:rPr>
          <w:rFonts w:ascii="Times New Roman" w:hAnsi="Times New Roman" w:cs="Times New Roman"/>
          <w:bCs/>
          <w:sz w:val="20"/>
          <w:szCs w:val="20"/>
        </w:rPr>
      </w:pPr>
      <w:r w:rsidRPr="00A12E6C">
        <w:rPr>
          <w:rFonts w:ascii="Times New Roman" w:hAnsi="Times New Roman" w:cs="Times New Roman"/>
          <w:bCs/>
          <w:sz w:val="20"/>
          <w:szCs w:val="20"/>
        </w:rPr>
        <w:t>Preston, I. R. (2019). Risk Stratification—</w:t>
      </w:r>
      <w:proofErr w:type="spellStart"/>
      <w:r w:rsidRPr="00A12E6C">
        <w:rPr>
          <w:rFonts w:ascii="Times New Roman" w:hAnsi="Times New Roman" w:cs="Times New Roman"/>
          <w:bCs/>
          <w:sz w:val="20"/>
          <w:szCs w:val="20"/>
        </w:rPr>
        <w:t>Whats</w:t>
      </w:r>
      <w:proofErr w:type="spellEnd"/>
      <w:r w:rsidRPr="00A12E6C">
        <w:rPr>
          <w:rFonts w:ascii="Times New Roman" w:hAnsi="Times New Roman" w:cs="Times New Roman"/>
          <w:bCs/>
          <w:sz w:val="20"/>
          <w:szCs w:val="20"/>
        </w:rPr>
        <w:t xml:space="preserve"> My Risk? A Practitioners Tool. Advances in Pulmonary Hypertension, 18(3), 84-86. doi:10.21693/1933-088x-18.3.84</w:t>
      </w:r>
    </w:p>
    <w:p w14:paraId="2C537956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Rhee, C. L., &amp; Cuttica, M. (2018). Palliative Care and Advance Care Planning in Pulmonary Hypertension.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17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(1), 15-19. doi:10.21693/1933-088x-17.1.15</w:t>
      </w:r>
    </w:p>
    <w:p w14:paraId="1962A02D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Ryan, J. T., Perez, V. A., &amp; Ryan, J. J. (2021). Health Disparities in Pulmonary Arterial Hypertension and the Impact of the COVID-19 Pandemic.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20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(1), 6-15. doi:10.21693/1933-088x-20.1.6</w:t>
      </w:r>
    </w:p>
    <w:p w14:paraId="767340A4" w14:textId="5EC89AC9" w:rsidR="00370F34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Sahay, S. (2019). Evaluation and classification of pulmonary arterial hypertension.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Journal of Thoracic Disease,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11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(S14). doi:10.21037/jtd.2019.08.54</w:t>
      </w:r>
    </w:p>
    <w:p w14:paraId="48EEC783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Senecal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, P. (2018). PH Professional Network: Team-Based Care for Professionals in Pulmonary Hypertension.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16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(3), 95-96. doi:10.21693/1933-088x-16.3.95</w:t>
      </w:r>
    </w:p>
    <w:p w14:paraId="0F835A3C" w14:textId="4FBF0761" w:rsidR="005D3048" w:rsidRPr="00370F34" w:rsidRDefault="005D3048" w:rsidP="004337D3">
      <w:pPr>
        <w:pStyle w:val="ListParagraph"/>
        <w:spacing w:line="480" w:lineRule="auto"/>
        <w:ind w:left="0" w:hanging="27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2E6C">
        <w:rPr>
          <w:rFonts w:ascii="Times New Roman" w:hAnsi="Times New Roman" w:cs="Times New Roman"/>
          <w:bCs/>
          <w:sz w:val="20"/>
          <w:szCs w:val="20"/>
        </w:rPr>
        <w:t>Thenappan</w:t>
      </w:r>
      <w:proofErr w:type="spellEnd"/>
      <w:r w:rsidRPr="00A12E6C">
        <w:rPr>
          <w:rFonts w:ascii="Times New Roman" w:hAnsi="Times New Roman" w:cs="Times New Roman"/>
          <w:bCs/>
          <w:sz w:val="20"/>
          <w:szCs w:val="20"/>
        </w:rPr>
        <w:t xml:space="preserve">, T. (2019). Pulmonary Hypertension Due to Left Heart Disease—Combine or Not Combined? DPG In or Out? A Practical Approach to the Patient </w:t>
      </w:r>
      <w:proofErr w:type="gramStart"/>
      <w:r w:rsidRPr="00A12E6C">
        <w:rPr>
          <w:rFonts w:ascii="Times New Roman" w:hAnsi="Times New Roman" w:cs="Times New Roman"/>
          <w:bCs/>
          <w:sz w:val="20"/>
          <w:szCs w:val="20"/>
        </w:rPr>
        <w:t>With</w:t>
      </w:r>
      <w:proofErr w:type="gramEnd"/>
      <w:r w:rsidRPr="00A12E6C">
        <w:rPr>
          <w:rFonts w:ascii="Times New Roman" w:hAnsi="Times New Roman" w:cs="Times New Roman"/>
          <w:bCs/>
          <w:sz w:val="20"/>
          <w:szCs w:val="20"/>
        </w:rPr>
        <w:t xml:space="preserve"> Suspected Left Heart Disease. Advances in Pulmonary Hypertension, 18(3), 87-91. doi:10.21693/1933-088x-18.3.87</w:t>
      </w:r>
    </w:p>
    <w:p w14:paraId="3D29673F" w14:textId="77777777" w:rsidR="005D3048" w:rsidRDefault="005D3048" w:rsidP="004337D3">
      <w:pPr>
        <w:pStyle w:val="ListParagraph"/>
        <w:spacing w:line="480" w:lineRule="auto"/>
        <w:ind w:left="0" w:hanging="27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2E6C">
        <w:rPr>
          <w:rFonts w:ascii="Times New Roman" w:hAnsi="Times New Roman" w:cs="Times New Roman"/>
          <w:bCs/>
          <w:sz w:val="20"/>
          <w:szCs w:val="20"/>
        </w:rPr>
        <w:t>Vedage</w:t>
      </w:r>
      <w:proofErr w:type="spellEnd"/>
      <w:r w:rsidRPr="00A12E6C">
        <w:rPr>
          <w:rFonts w:ascii="Times New Roman" w:hAnsi="Times New Roman" w:cs="Times New Roman"/>
          <w:bCs/>
          <w:sz w:val="20"/>
          <w:szCs w:val="20"/>
        </w:rPr>
        <w:t xml:space="preserve">, N. A., &amp; Vaidya, A. (2019). What Echocardiography Can Reliably Tell Us About Our Pulmonary Hypertension Patients. Advances in Pulmonary Hypertension, 18(4), 110-114. </w:t>
      </w:r>
    </w:p>
    <w:p w14:paraId="786A9F3E" w14:textId="77777777" w:rsidR="005D3048" w:rsidRDefault="005D3048" w:rsidP="004337D3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12E6C">
        <w:rPr>
          <w:rFonts w:ascii="Times New Roman" w:hAnsi="Times New Roman" w:cs="Times New Roman"/>
          <w:bCs/>
          <w:sz w:val="20"/>
          <w:szCs w:val="20"/>
        </w:rPr>
        <w:t>doi:10.21693/1933-088x-18.4.110</w:t>
      </w:r>
    </w:p>
    <w:p w14:paraId="270976DE" w14:textId="38234842" w:rsidR="005D3048" w:rsidRDefault="005D3048" w:rsidP="00370F34">
      <w:pPr>
        <w:pStyle w:val="ListParagraph"/>
        <w:spacing w:line="480" w:lineRule="auto"/>
        <w:ind w:left="0" w:hanging="270"/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Vanderpool, R. R., Saul, M., </w:t>
      </w:r>
      <w:proofErr w:type="spell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Nouraie</w:t>
      </w:r>
      <w:proofErr w:type="spell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, M., Gladwin, M. T., &amp; Simon, M. A. (2018). Association Between Hemodynamic Markers of Pulmonary Hypertension and Outcomes in Heart Failure </w:t>
      </w:r>
      <w:proofErr w:type="gramStart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With</w:t>
      </w:r>
      <w:proofErr w:type="gramEnd"/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Preserved Ejection Fraction. </w:t>
      </w:r>
      <w:r w:rsidRPr="00C02951">
        <w:rPr>
          <w:rFonts w:ascii="Times New Roman" w:hAnsi="Times New Roman" w:cs="Times New Roman"/>
          <w:i/>
          <w:iCs/>
          <w:color w:val="323232"/>
          <w:sz w:val="20"/>
          <w:szCs w:val="20"/>
        </w:rPr>
        <w:t>JAMA Cardiology,</w:t>
      </w:r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 </w:t>
      </w:r>
      <w:r w:rsidRPr="00C02951">
        <w:rPr>
          <w:rFonts w:ascii="Times New Roman" w:hAnsi="Times New Roman" w:cs="Times New Roman"/>
          <w:i/>
          <w:iCs/>
          <w:color w:val="323232"/>
          <w:sz w:val="20"/>
          <w:szCs w:val="20"/>
        </w:rPr>
        <w:t>3</w:t>
      </w:r>
      <w:r w:rsidRPr="00C02951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(4), 298. doi:10.1001/jamacardio.2018.0128</w:t>
      </w:r>
    </w:p>
    <w:p w14:paraId="7D288A60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Wilkins, M. R., &amp; Rabinovitch, M. (2020). Novel and Relevant Mechanistic Pathways.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19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(2), 42-46. doi:10.21693/1933-088x-19.2.42</w:t>
      </w:r>
    </w:p>
    <w:p w14:paraId="17517ABD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lastRenderedPageBreak/>
        <w:t>Wirth, J. A., &amp; Poms, A. (2014). Implementation of the PHA Pulmonary Hypertension Care Center Accreditation Program.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Advances in Pulmonary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13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(1), 40-41. doi:10.21693/1933-088x-13.1.40</w:t>
      </w:r>
    </w:p>
    <w:p w14:paraId="2C3816F7" w14:textId="77777777" w:rsidR="00370F34" w:rsidRPr="005D3048" w:rsidRDefault="00370F34" w:rsidP="00370F3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Yarovoy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, S., Danilov, N., &amp; </w:t>
      </w:r>
      <w:proofErr w:type="spell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Chazova</w:t>
      </w:r>
      <w:proofErr w:type="spell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, I. (2019). Pulmonary Artery Vasoreactivity In Patients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Chronic Thromboembolic Pulmonary Hypertension After Balloon Pulmonary Angioplasty.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Journal of Hypertension,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 </w:t>
      </w:r>
      <w:r w:rsidRPr="005D3048">
        <w:rPr>
          <w:rFonts w:ascii="Times New Roman" w:eastAsia="Times New Roman" w:hAnsi="Times New Roman" w:cs="Times New Roman"/>
          <w:i/>
          <w:iCs/>
          <w:color w:val="323232"/>
          <w:sz w:val="20"/>
          <w:szCs w:val="20"/>
        </w:rPr>
        <w:t>37</w:t>
      </w:r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. </w:t>
      </w:r>
      <w:proofErr w:type="gramStart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doi:10.1097/01.hjh</w:t>
      </w:r>
      <w:proofErr w:type="gramEnd"/>
      <w:r w:rsidRPr="005D3048">
        <w:rPr>
          <w:rFonts w:ascii="Times New Roman" w:eastAsia="Times New Roman" w:hAnsi="Times New Roman" w:cs="Times New Roman"/>
          <w:color w:val="323232"/>
          <w:sz w:val="20"/>
          <w:szCs w:val="20"/>
        </w:rPr>
        <w:t>.0000573160.91173.19</w:t>
      </w:r>
    </w:p>
    <w:p w14:paraId="71593FB5" w14:textId="77777777" w:rsidR="00370F34" w:rsidRDefault="005D3048" w:rsidP="004337D3">
      <w:pPr>
        <w:pStyle w:val="NoSpacing"/>
        <w:spacing w:line="480" w:lineRule="auto"/>
        <w:ind w:left="90" w:hanging="450"/>
        <w:rPr>
          <w:rFonts w:ascii="Times New Roman" w:hAnsi="Times New Roman" w:cs="Times New Roman"/>
          <w:sz w:val="20"/>
          <w:szCs w:val="20"/>
        </w:rPr>
      </w:pPr>
      <w:r w:rsidRPr="005D3048">
        <w:rPr>
          <w:rFonts w:ascii="Times New Roman" w:hAnsi="Times New Roman" w:cs="Times New Roman"/>
          <w:sz w:val="20"/>
          <w:szCs w:val="20"/>
        </w:rPr>
        <w:t>Results From the United States Chronic Thromboembolic Pulmonary Hypertension Registry: Enrollment Characteristics and 1-Year Follow-</w:t>
      </w:r>
      <w:proofErr w:type="spellStart"/>
      <w:proofErr w:type="gramStart"/>
      <w:r w:rsidRPr="005D3048">
        <w:rPr>
          <w:rFonts w:ascii="Times New Roman" w:hAnsi="Times New Roman" w:cs="Times New Roman"/>
          <w:sz w:val="20"/>
          <w:szCs w:val="20"/>
        </w:rPr>
        <w:t>up.Kerr</w:t>
      </w:r>
      <w:proofErr w:type="spellEnd"/>
      <w:proofErr w:type="gramEnd"/>
      <w:r w:rsidRPr="005D3048">
        <w:rPr>
          <w:rFonts w:ascii="Times New Roman" w:hAnsi="Times New Roman" w:cs="Times New Roman"/>
          <w:sz w:val="20"/>
          <w:szCs w:val="20"/>
        </w:rPr>
        <w:t xml:space="preserve"> KM, Elliott CG, Chin K, </w:t>
      </w:r>
      <w:proofErr w:type="spellStart"/>
      <w:r w:rsidRPr="005D3048">
        <w:rPr>
          <w:rFonts w:ascii="Times New Roman" w:hAnsi="Times New Roman" w:cs="Times New Roman"/>
          <w:sz w:val="20"/>
          <w:szCs w:val="20"/>
        </w:rPr>
        <w:t>Benza</w:t>
      </w:r>
      <w:proofErr w:type="spellEnd"/>
      <w:r w:rsidRPr="005D3048">
        <w:rPr>
          <w:rFonts w:ascii="Times New Roman" w:hAnsi="Times New Roman" w:cs="Times New Roman"/>
          <w:sz w:val="20"/>
          <w:szCs w:val="20"/>
        </w:rPr>
        <w:t xml:space="preserve"> RL, </w:t>
      </w:r>
      <w:proofErr w:type="spellStart"/>
      <w:r w:rsidRPr="005D3048">
        <w:rPr>
          <w:rFonts w:ascii="Times New Roman" w:hAnsi="Times New Roman" w:cs="Times New Roman"/>
          <w:sz w:val="20"/>
          <w:szCs w:val="20"/>
        </w:rPr>
        <w:t>Channick</w:t>
      </w:r>
      <w:proofErr w:type="spellEnd"/>
      <w:r w:rsidRPr="005D3048">
        <w:rPr>
          <w:rFonts w:ascii="Times New Roman" w:hAnsi="Times New Roman" w:cs="Times New Roman"/>
          <w:sz w:val="20"/>
          <w:szCs w:val="20"/>
        </w:rPr>
        <w:t xml:space="preserve"> RN, Davis RD, He F, LaCroix A, </w:t>
      </w:r>
      <w:proofErr w:type="spellStart"/>
      <w:r w:rsidRPr="005D3048">
        <w:rPr>
          <w:rFonts w:ascii="Times New Roman" w:hAnsi="Times New Roman" w:cs="Times New Roman"/>
          <w:sz w:val="20"/>
          <w:szCs w:val="20"/>
        </w:rPr>
        <w:t>Madani</w:t>
      </w:r>
      <w:proofErr w:type="spellEnd"/>
      <w:r w:rsidRPr="005D3048">
        <w:rPr>
          <w:rFonts w:ascii="Times New Roman" w:hAnsi="Times New Roman" w:cs="Times New Roman"/>
          <w:sz w:val="20"/>
          <w:szCs w:val="20"/>
        </w:rPr>
        <w:t xml:space="preserve"> MM, McLaughlin VV, Park M, Robbins IM, </w:t>
      </w:r>
      <w:proofErr w:type="spellStart"/>
      <w:r w:rsidRPr="005D3048">
        <w:rPr>
          <w:rFonts w:ascii="Times New Roman" w:hAnsi="Times New Roman" w:cs="Times New Roman"/>
          <w:sz w:val="20"/>
          <w:szCs w:val="20"/>
        </w:rPr>
        <w:t>Tapson</w:t>
      </w:r>
      <w:proofErr w:type="spellEnd"/>
      <w:r w:rsidRPr="005D3048">
        <w:rPr>
          <w:rFonts w:ascii="Times New Roman" w:hAnsi="Times New Roman" w:cs="Times New Roman"/>
          <w:sz w:val="20"/>
          <w:szCs w:val="20"/>
        </w:rPr>
        <w:t xml:space="preserve"> VF, Terry JR, Test VJ, Jain S, Auger WR - Chest - June 4, 2021</w:t>
      </w:r>
    </w:p>
    <w:p w14:paraId="4F78D3D2" w14:textId="77777777" w:rsidR="00370F34" w:rsidRDefault="00370F34" w:rsidP="00370F3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EF55DE" w14:textId="77777777" w:rsidR="00370F34" w:rsidRPr="005D3048" w:rsidRDefault="00370F34" w:rsidP="005D304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sectPr w:rsidR="00370F34" w:rsidRPr="005D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48"/>
    <w:rsid w:val="001C66BA"/>
    <w:rsid w:val="00370F34"/>
    <w:rsid w:val="003826FB"/>
    <w:rsid w:val="004337D3"/>
    <w:rsid w:val="004A3B60"/>
    <w:rsid w:val="005D3048"/>
    <w:rsid w:val="00815EBD"/>
    <w:rsid w:val="00C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1522"/>
  <w15:chartTrackingRefBased/>
  <w15:docId w15:val="{1002A373-C1F0-438E-95E3-62411E7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048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5D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40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17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1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3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8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8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28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4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1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25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8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04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8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9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65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Laroy, Valerie</dc:creator>
  <cp:keywords/>
  <dc:description/>
  <cp:lastModifiedBy>Spencer, Holly</cp:lastModifiedBy>
  <cp:revision>2</cp:revision>
  <dcterms:created xsi:type="dcterms:W3CDTF">2021-08-11T15:07:00Z</dcterms:created>
  <dcterms:modified xsi:type="dcterms:W3CDTF">2021-08-11T15:07:00Z</dcterms:modified>
</cp:coreProperties>
</file>